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Default="00697B9B" w:rsidP="004D0D63">
      <w:pPr>
        <w:pStyle w:val="Heading1"/>
        <w:jc w:val="center"/>
        <w:rPr>
          <w:rFonts w:asciiTheme="minorHAnsi" w:hAnsiTheme="minorHAnsi" w:cstheme="minorHAnsi"/>
          <w:sz w:val="36"/>
          <w:szCs w:val="36"/>
          <w:u w:val="single"/>
        </w:rPr>
      </w:pPr>
      <w:bookmarkStart w:id="0" w:name="_Toc98530463"/>
      <w:r w:rsidRPr="006C6F54">
        <w:rPr>
          <w:rFonts w:asciiTheme="minorHAnsi" w:hAnsiTheme="minorHAnsi" w:cstheme="minorHAnsi"/>
          <w:sz w:val="36"/>
          <w:szCs w:val="36"/>
          <w:u w:val="single"/>
        </w:rPr>
        <w:t>TENDER NOTICE</w:t>
      </w:r>
      <w:bookmarkEnd w:id="0"/>
    </w:p>
    <w:p w14:paraId="1D33A90F" w14:textId="77777777" w:rsidR="00285115" w:rsidRDefault="00285115" w:rsidP="00285115"/>
    <w:p w14:paraId="539945D5" w14:textId="250D454F" w:rsidR="00285115" w:rsidRPr="00285115" w:rsidRDefault="00285115" w:rsidP="00285115">
      <w:pPr>
        <w:rPr>
          <w:rFonts w:asciiTheme="minorHAnsi" w:hAnsiTheme="minorHAnsi" w:cstheme="minorHAnsi"/>
          <w:b/>
          <w:bCs/>
        </w:rPr>
      </w:pPr>
      <w:proofErr w:type="gramStart"/>
      <w:r>
        <w:rPr>
          <w:rFonts w:asciiTheme="minorHAnsi" w:hAnsiTheme="minorHAnsi" w:cstheme="minorHAnsi"/>
          <w:b/>
          <w:bCs/>
        </w:rPr>
        <w:t xml:space="preserve">“ </w:t>
      </w:r>
      <w:r w:rsidRPr="00285115">
        <w:rPr>
          <w:rFonts w:asciiTheme="minorHAnsi" w:hAnsiTheme="minorHAnsi" w:cstheme="minorHAnsi"/>
          <w:b/>
          <w:bCs/>
        </w:rPr>
        <w:t>Frame</w:t>
      </w:r>
      <w:proofErr w:type="gramEnd"/>
      <w:r w:rsidRPr="00285115">
        <w:rPr>
          <w:rFonts w:asciiTheme="minorHAnsi" w:hAnsiTheme="minorHAnsi" w:cstheme="minorHAnsi"/>
          <w:b/>
          <w:bCs/>
        </w:rPr>
        <w:t xml:space="preserve"> contract of Civil works Renovation, and R&amp;M Services in NTR-I, NTR-II and HTR.</w:t>
      </w:r>
      <w:r>
        <w:rPr>
          <w:rFonts w:asciiTheme="minorHAnsi" w:hAnsiTheme="minorHAnsi" w:cstheme="minorHAnsi"/>
          <w:b/>
          <w:bCs/>
        </w:rPr>
        <w:t>”</w:t>
      </w:r>
    </w:p>
    <w:p w14:paraId="7C9F4912" w14:textId="77777777" w:rsidR="005322C3" w:rsidRDefault="005322C3" w:rsidP="005322C3">
      <w:pPr>
        <w:pStyle w:val="Default"/>
      </w:pPr>
    </w:p>
    <w:p w14:paraId="05C344B5" w14:textId="77777777" w:rsidR="005322C3" w:rsidRDefault="005322C3" w:rsidP="005322C3">
      <w:pPr>
        <w:pStyle w:val="Default"/>
        <w:rPr>
          <w:color w:val="FFFFFF"/>
          <w:sz w:val="30"/>
          <w:szCs w:val="30"/>
        </w:rPr>
      </w:pPr>
      <w:r>
        <w:t xml:space="preserve"> </w:t>
      </w:r>
      <w:r>
        <w:rPr>
          <w:b/>
          <w:bCs/>
          <w:color w:val="FFFFFF"/>
          <w:sz w:val="30"/>
          <w:szCs w:val="30"/>
        </w:rPr>
        <w:t xml:space="preserve">TENDER NOTICE </w:t>
      </w:r>
    </w:p>
    <w:p w14:paraId="2F2F8F53" w14:textId="2A812738" w:rsidR="005322C3" w:rsidRDefault="005322C3" w:rsidP="005322C3">
      <w:pPr>
        <w:pStyle w:val="Default"/>
        <w:numPr>
          <w:ilvl w:val="0"/>
          <w:numId w:val="4"/>
        </w:numPr>
        <w:spacing w:after="138"/>
        <w:ind w:left="360" w:hanging="360"/>
        <w:rPr>
          <w:sz w:val="22"/>
          <w:szCs w:val="22"/>
        </w:rPr>
      </w:pPr>
      <w:r>
        <w:rPr>
          <w:sz w:val="22"/>
          <w:szCs w:val="22"/>
        </w:rPr>
        <w:t xml:space="preserve">Sealed bids are invited from potential bidders with relevant experience and PEC registration to develop unit-based frame rates for </w:t>
      </w:r>
      <w:r>
        <w:rPr>
          <w:b/>
          <w:bCs/>
          <w:sz w:val="23"/>
          <w:szCs w:val="23"/>
        </w:rPr>
        <w:t xml:space="preserve">Renovation, Civil Work and R&amp;M Services in </w:t>
      </w:r>
      <w:r w:rsidR="006C6F54">
        <w:rPr>
          <w:b/>
          <w:bCs/>
          <w:sz w:val="23"/>
          <w:szCs w:val="23"/>
        </w:rPr>
        <w:t xml:space="preserve">NTR-I, NTR-II and HTR </w:t>
      </w:r>
      <w:r w:rsidR="006C6F54">
        <w:rPr>
          <w:sz w:val="22"/>
          <w:szCs w:val="22"/>
        </w:rPr>
        <w:t>in</w:t>
      </w:r>
      <w:r>
        <w:rPr>
          <w:sz w:val="22"/>
          <w:szCs w:val="22"/>
        </w:rPr>
        <w:t xml:space="preserve"> PTCL Business Zone </w:t>
      </w:r>
      <w:r w:rsidR="006C6F54">
        <w:rPr>
          <w:sz w:val="22"/>
          <w:szCs w:val="22"/>
        </w:rPr>
        <w:t>North.</w:t>
      </w:r>
      <w:r>
        <w:rPr>
          <w:sz w:val="22"/>
          <w:szCs w:val="22"/>
        </w:rPr>
        <w:t xml:space="preserve"> </w:t>
      </w:r>
    </w:p>
    <w:p w14:paraId="4E9A2623" w14:textId="77777777" w:rsidR="005322C3" w:rsidRDefault="005322C3" w:rsidP="005322C3">
      <w:pPr>
        <w:pStyle w:val="Default"/>
        <w:numPr>
          <w:ilvl w:val="0"/>
          <w:numId w:val="4"/>
        </w:numPr>
        <w:spacing w:after="138"/>
        <w:ind w:left="360" w:hanging="360"/>
        <w:rPr>
          <w:sz w:val="22"/>
          <w:szCs w:val="22"/>
        </w:rPr>
      </w:pPr>
      <w:r>
        <w:rPr>
          <w:sz w:val="22"/>
          <w:szCs w:val="22"/>
        </w:rPr>
        <w:t xml:space="preserve">Regional framework contracts will be signed with successful bidders after a competitive bidding process for a period of Three (03) years from contract signing date. The frame contract shall be concluded on demand basis, whereby PTCL does not guarantee and is under no obligation to purchase/place orders for until and unless there is a firm requirement of the same by PTCL. PTCL shall issue Purchase Order(s) to the contracted vendor on need/demand basis from time to time in duration of the contract. </w:t>
      </w:r>
    </w:p>
    <w:p w14:paraId="0AB5F565" w14:textId="77777777" w:rsidR="005322C3" w:rsidRDefault="005322C3" w:rsidP="005322C3">
      <w:pPr>
        <w:pStyle w:val="Default"/>
        <w:numPr>
          <w:ilvl w:val="0"/>
          <w:numId w:val="4"/>
        </w:numPr>
        <w:spacing w:after="138"/>
        <w:ind w:left="360" w:hanging="360"/>
        <w:rPr>
          <w:sz w:val="22"/>
          <w:szCs w:val="22"/>
        </w:rPr>
      </w:pPr>
      <w:r>
        <w:rPr>
          <w:sz w:val="22"/>
          <w:szCs w:val="22"/>
        </w:rPr>
        <w:t xml:space="preserve">Bids must be received duly completed in all respects. </w:t>
      </w:r>
    </w:p>
    <w:p w14:paraId="0193CDA8" w14:textId="01B65055" w:rsidR="005322C3" w:rsidRDefault="005322C3" w:rsidP="005322C3">
      <w:pPr>
        <w:pStyle w:val="Default"/>
        <w:numPr>
          <w:ilvl w:val="0"/>
          <w:numId w:val="4"/>
        </w:numPr>
        <w:spacing w:after="138"/>
        <w:ind w:left="360" w:hanging="360"/>
        <w:rPr>
          <w:sz w:val="22"/>
          <w:szCs w:val="22"/>
        </w:rPr>
      </w:pPr>
      <w:r>
        <w:rPr>
          <w:sz w:val="22"/>
          <w:szCs w:val="22"/>
        </w:rPr>
        <w:t xml:space="preserve">Tender Documents can be obtained through email to </w:t>
      </w:r>
      <w:r w:rsidRPr="001C6FB1">
        <w:rPr>
          <w:b/>
          <w:bCs/>
          <w:color w:val="000000" w:themeColor="text1"/>
          <w:sz w:val="22"/>
          <w:szCs w:val="22"/>
        </w:rPr>
        <w:t xml:space="preserve">Asad.Noman@ptclgroup.com </w:t>
      </w:r>
      <w:r>
        <w:rPr>
          <w:sz w:val="22"/>
          <w:szCs w:val="22"/>
        </w:rPr>
        <w:t>and</w:t>
      </w:r>
      <w:r w:rsidRPr="001C6FB1">
        <w:rPr>
          <w:color w:val="000000" w:themeColor="text1"/>
          <w:sz w:val="22"/>
          <w:szCs w:val="22"/>
        </w:rPr>
        <w:t xml:space="preserve"> </w:t>
      </w:r>
      <w:hyperlink r:id="rId7" w:history="1">
        <w:r w:rsidRPr="001C6FB1">
          <w:rPr>
            <w:rStyle w:val="Hyperlink"/>
            <w:b/>
            <w:bCs/>
            <w:color w:val="000000" w:themeColor="text1"/>
            <w:sz w:val="22"/>
            <w:szCs w:val="22"/>
          </w:rPr>
          <w:t>mehmood.nasir@ptclgroup.com</w:t>
        </w:r>
      </w:hyperlink>
      <w:r w:rsidRPr="001C6FB1">
        <w:rPr>
          <w:b/>
          <w:bCs/>
          <w:color w:val="000000" w:themeColor="text1"/>
          <w:sz w:val="22"/>
          <w:szCs w:val="22"/>
        </w:rPr>
        <w:t>.</w:t>
      </w:r>
      <w:r w:rsidRPr="001C6FB1">
        <w:rPr>
          <w:color w:val="000000" w:themeColor="text1"/>
          <w:sz w:val="22"/>
          <w:szCs w:val="22"/>
        </w:rPr>
        <w:t xml:space="preserve"> </w:t>
      </w:r>
      <w:r>
        <w:rPr>
          <w:sz w:val="22"/>
          <w:szCs w:val="22"/>
        </w:rPr>
        <w:t xml:space="preserve">After depositing Rs.500 with Mr. Nadeen Khan Cashier Finance NTR-I. His E-mail address is </w:t>
      </w:r>
      <w:hyperlink r:id="rId8" w:history="1">
        <w:r w:rsidRPr="00897BDB">
          <w:rPr>
            <w:rStyle w:val="Hyperlink"/>
            <w:sz w:val="22"/>
            <w:szCs w:val="22"/>
          </w:rPr>
          <w:t>nadeem.khan2@ptclgroup.com</w:t>
        </w:r>
      </w:hyperlink>
      <w:r>
        <w:rPr>
          <w:sz w:val="22"/>
          <w:szCs w:val="22"/>
        </w:rPr>
        <w:t xml:space="preserve"> and </w:t>
      </w:r>
      <w:r w:rsidR="008F751F">
        <w:rPr>
          <w:sz w:val="22"/>
          <w:szCs w:val="22"/>
        </w:rPr>
        <w:t>contact</w:t>
      </w:r>
      <w:r>
        <w:rPr>
          <w:sz w:val="22"/>
          <w:szCs w:val="22"/>
        </w:rPr>
        <w:t xml:space="preserve"> # </w:t>
      </w:r>
      <w:r w:rsidR="006C6F54">
        <w:rPr>
          <w:sz w:val="22"/>
          <w:szCs w:val="22"/>
        </w:rPr>
        <w:t>0333-</w:t>
      </w:r>
      <w:r w:rsidR="008F751F">
        <w:rPr>
          <w:sz w:val="22"/>
          <w:szCs w:val="22"/>
        </w:rPr>
        <w:t>8389993.</w:t>
      </w:r>
      <w:r w:rsidR="006C6F54">
        <w:rPr>
          <w:sz w:val="22"/>
          <w:szCs w:val="22"/>
        </w:rPr>
        <w:t xml:space="preserve"> You can deposit </w:t>
      </w:r>
      <w:r w:rsidR="006C6F54" w:rsidRPr="008F751F">
        <w:rPr>
          <w:b/>
          <w:bCs/>
          <w:sz w:val="22"/>
          <w:szCs w:val="22"/>
          <w:u w:val="single"/>
        </w:rPr>
        <w:t>PKR 500</w:t>
      </w:r>
      <w:r w:rsidR="006C6F54">
        <w:rPr>
          <w:sz w:val="22"/>
          <w:szCs w:val="22"/>
        </w:rPr>
        <w:t xml:space="preserve"> online in PTCL Account# 023902907022 UBL branch code 1195 Peshawar Cantt.</w:t>
      </w:r>
    </w:p>
    <w:p w14:paraId="1E454EB8" w14:textId="02745BC2" w:rsidR="005322C3" w:rsidRDefault="005322C3" w:rsidP="005322C3">
      <w:pPr>
        <w:pStyle w:val="Default"/>
        <w:numPr>
          <w:ilvl w:val="0"/>
          <w:numId w:val="4"/>
        </w:numPr>
        <w:spacing w:after="138"/>
        <w:ind w:left="360" w:hanging="360"/>
        <w:rPr>
          <w:sz w:val="22"/>
          <w:szCs w:val="22"/>
        </w:rPr>
      </w:pPr>
      <w:r>
        <w:rPr>
          <w:sz w:val="22"/>
          <w:szCs w:val="22"/>
        </w:rPr>
        <w:t xml:space="preserve">Tender documents can be purchased by or before </w:t>
      </w:r>
      <w:r>
        <w:rPr>
          <w:b/>
          <w:bCs/>
          <w:sz w:val="22"/>
          <w:szCs w:val="22"/>
        </w:rPr>
        <w:t xml:space="preserve">27-May-2025 </w:t>
      </w:r>
      <w:r>
        <w:rPr>
          <w:sz w:val="22"/>
          <w:szCs w:val="22"/>
        </w:rPr>
        <w:t xml:space="preserve">in which deadline will also be given to potential bidders to submit any queries/seek clarifications from PTCL. </w:t>
      </w:r>
    </w:p>
    <w:p w14:paraId="63E9B485" w14:textId="00F2AA09" w:rsidR="005322C3" w:rsidRDefault="005322C3" w:rsidP="005322C3">
      <w:pPr>
        <w:pStyle w:val="Default"/>
        <w:numPr>
          <w:ilvl w:val="0"/>
          <w:numId w:val="4"/>
        </w:numPr>
        <w:spacing w:after="138"/>
        <w:ind w:left="360" w:hanging="360"/>
        <w:rPr>
          <w:sz w:val="22"/>
          <w:szCs w:val="22"/>
        </w:rPr>
      </w:pPr>
      <w:r>
        <w:rPr>
          <w:sz w:val="22"/>
          <w:szCs w:val="22"/>
        </w:rPr>
        <w:t xml:space="preserve">Queries are to be raised by </w:t>
      </w:r>
      <w:r>
        <w:rPr>
          <w:b/>
          <w:bCs/>
          <w:sz w:val="22"/>
          <w:szCs w:val="22"/>
        </w:rPr>
        <w:t xml:space="preserve">29th-May-2025 </w:t>
      </w:r>
      <w:r>
        <w:rPr>
          <w:sz w:val="22"/>
          <w:szCs w:val="22"/>
        </w:rPr>
        <w:t xml:space="preserve">to seek any clarifications. </w:t>
      </w:r>
    </w:p>
    <w:p w14:paraId="17BF4931" w14:textId="62B3E03D" w:rsidR="005322C3" w:rsidRDefault="005322C3" w:rsidP="005322C3">
      <w:pPr>
        <w:pStyle w:val="Default"/>
        <w:numPr>
          <w:ilvl w:val="0"/>
          <w:numId w:val="4"/>
        </w:numPr>
        <w:spacing w:after="138"/>
        <w:ind w:left="360" w:hanging="360"/>
        <w:rPr>
          <w:sz w:val="22"/>
          <w:szCs w:val="22"/>
        </w:rPr>
      </w:pPr>
      <w:r w:rsidRPr="005322C3">
        <w:rPr>
          <w:b/>
          <w:bCs/>
          <w:sz w:val="22"/>
          <w:szCs w:val="22"/>
          <w:u w:val="single"/>
        </w:rPr>
        <w:t>Separate Technical and Commercial bids</w:t>
      </w:r>
      <w:r>
        <w:rPr>
          <w:sz w:val="22"/>
          <w:szCs w:val="22"/>
        </w:rPr>
        <w:t xml:space="preserve"> required to be submitted by or before </w:t>
      </w:r>
      <w:r>
        <w:rPr>
          <w:b/>
          <w:bCs/>
          <w:sz w:val="22"/>
          <w:szCs w:val="22"/>
        </w:rPr>
        <w:t>10th-June-2025</w:t>
      </w:r>
      <w:r>
        <w:rPr>
          <w:sz w:val="22"/>
          <w:szCs w:val="22"/>
        </w:rPr>
        <w:t>.</w:t>
      </w:r>
    </w:p>
    <w:p w14:paraId="2067AA21" w14:textId="77777777" w:rsidR="005322C3" w:rsidRDefault="005322C3" w:rsidP="005322C3">
      <w:pPr>
        <w:pStyle w:val="Default"/>
        <w:numPr>
          <w:ilvl w:val="0"/>
          <w:numId w:val="4"/>
        </w:numPr>
        <w:spacing w:after="138"/>
        <w:ind w:left="360" w:hanging="360"/>
        <w:rPr>
          <w:sz w:val="22"/>
          <w:szCs w:val="22"/>
        </w:rPr>
      </w:pPr>
      <w:r>
        <w:rPr>
          <w:sz w:val="22"/>
          <w:szCs w:val="22"/>
        </w:rPr>
        <w:t xml:space="preserve">Bids received after the above deadline shall not be accepted and will be returned unopened. </w:t>
      </w:r>
    </w:p>
    <w:p w14:paraId="43F678D9" w14:textId="77777777" w:rsidR="005322C3" w:rsidRDefault="005322C3" w:rsidP="005322C3">
      <w:pPr>
        <w:pStyle w:val="Default"/>
        <w:numPr>
          <w:ilvl w:val="0"/>
          <w:numId w:val="4"/>
        </w:numPr>
        <w:spacing w:after="138"/>
        <w:ind w:left="360" w:hanging="360"/>
        <w:rPr>
          <w:sz w:val="22"/>
          <w:szCs w:val="22"/>
        </w:rPr>
      </w:pPr>
      <w:r>
        <w:rPr>
          <w:sz w:val="22"/>
          <w:szCs w:val="22"/>
        </w:rPr>
        <w:t xml:space="preserve">The Bids must be accompanied by a Bid bond of PKR </w:t>
      </w:r>
      <w:r>
        <w:rPr>
          <w:b/>
          <w:bCs/>
          <w:sz w:val="22"/>
          <w:szCs w:val="22"/>
        </w:rPr>
        <w:t xml:space="preserve">50,000/- </w:t>
      </w:r>
      <w:r>
        <w:rPr>
          <w:sz w:val="22"/>
          <w:szCs w:val="22"/>
        </w:rPr>
        <w:t>as security in the form of CDR / DD in the name of “</w:t>
      </w:r>
      <w:r>
        <w:rPr>
          <w:b/>
          <w:bCs/>
          <w:sz w:val="22"/>
          <w:szCs w:val="22"/>
        </w:rPr>
        <w:t>Pakistan Telecommunication Company Limited</w:t>
      </w:r>
      <w:r>
        <w:rPr>
          <w:sz w:val="22"/>
          <w:szCs w:val="22"/>
        </w:rPr>
        <w:t>”</w:t>
      </w:r>
      <w:r>
        <w:rPr>
          <w:b/>
          <w:bCs/>
          <w:sz w:val="22"/>
          <w:szCs w:val="22"/>
        </w:rPr>
        <w:t xml:space="preserve">. </w:t>
      </w:r>
    </w:p>
    <w:p w14:paraId="6186F3E6" w14:textId="77777777" w:rsidR="005322C3" w:rsidRDefault="005322C3" w:rsidP="005322C3">
      <w:pPr>
        <w:pStyle w:val="Default"/>
        <w:numPr>
          <w:ilvl w:val="0"/>
          <w:numId w:val="4"/>
        </w:numPr>
        <w:spacing w:after="138"/>
        <w:ind w:left="360" w:hanging="360"/>
        <w:rPr>
          <w:sz w:val="22"/>
          <w:szCs w:val="22"/>
        </w:rPr>
      </w:pPr>
      <w:r>
        <w:rPr>
          <w:sz w:val="22"/>
          <w:szCs w:val="22"/>
        </w:rPr>
        <w:t xml:space="preserve">PTCL reserves the right to reject any or all bids and to annul the bidding process at any time, without thereby incurring any liability to the affected bidder (s) or any obligations to inform the affected bidder (s) of the grounds for PTCL action. </w:t>
      </w:r>
    </w:p>
    <w:p w14:paraId="11479AF2" w14:textId="3F411EE8" w:rsidR="005322C3" w:rsidRDefault="005322C3" w:rsidP="005322C3">
      <w:pPr>
        <w:pStyle w:val="Default"/>
        <w:numPr>
          <w:ilvl w:val="0"/>
          <w:numId w:val="4"/>
        </w:numPr>
        <w:spacing w:after="138"/>
        <w:ind w:left="360" w:hanging="360"/>
        <w:rPr>
          <w:sz w:val="22"/>
          <w:szCs w:val="22"/>
        </w:rPr>
      </w:pPr>
      <w:r>
        <w:rPr>
          <w:sz w:val="22"/>
          <w:szCs w:val="22"/>
        </w:rPr>
        <w:t xml:space="preserve">All the rates must be quoted without </w:t>
      </w:r>
      <w:proofErr w:type="gramStart"/>
      <w:r>
        <w:rPr>
          <w:sz w:val="22"/>
          <w:szCs w:val="22"/>
        </w:rPr>
        <w:t>Taxes..</w:t>
      </w:r>
      <w:proofErr w:type="gramEnd"/>
      <w:r>
        <w:rPr>
          <w:sz w:val="22"/>
          <w:szCs w:val="22"/>
        </w:rPr>
        <w:t xml:space="preserve"> </w:t>
      </w:r>
    </w:p>
    <w:p w14:paraId="030FE7F8" w14:textId="77777777" w:rsidR="005322C3" w:rsidRDefault="005322C3" w:rsidP="005322C3">
      <w:pPr>
        <w:pStyle w:val="Default"/>
        <w:numPr>
          <w:ilvl w:val="0"/>
          <w:numId w:val="4"/>
        </w:numPr>
        <w:ind w:left="360" w:hanging="360"/>
        <w:rPr>
          <w:sz w:val="22"/>
          <w:szCs w:val="22"/>
        </w:rPr>
      </w:pPr>
      <w:r>
        <w:rPr>
          <w:sz w:val="22"/>
          <w:szCs w:val="22"/>
        </w:rPr>
        <w:t xml:space="preserve">All correspondence regarding any clarification or queries about the subject tender may be addressed to the undersigned. </w:t>
      </w:r>
    </w:p>
    <w:p w14:paraId="1442D576" w14:textId="77777777" w:rsidR="005322C3" w:rsidRDefault="005322C3" w:rsidP="005322C3">
      <w:pPr>
        <w:pStyle w:val="Default"/>
        <w:rPr>
          <w:sz w:val="22"/>
          <w:szCs w:val="22"/>
        </w:rPr>
      </w:pPr>
    </w:p>
    <w:p w14:paraId="0FE90817" w14:textId="11D79500"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 xml:space="preserve">Manager (Regional </w:t>
      </w:r>
      <w:r w:rsidR="00A47207" w:rsidRPr="00E51560">
        <w:rPr>
          <w:rFonts w:ascii="Calibri" w:hAnsi="Calibri"/>
          <w:b/>
          <w:sz w:val="22"/>
          <w:szCs w:val="22"/>
        </w:rPr>
        <w:t>Procurement</w:t>
      </w:r>
      <w:r w:rsidR="00A47207">
        <w:rPr>
          <w:rFonts w:ascii="Calibri" w:hAnsi="Calibri"/>
          <w:b/>
          <w:sz w:val="22"/>
          <w:szCs w:val="22"/>
        </w:rPr>
        <w:t>)</w:t>
      </w:r>
      <w:r w:rsidRPr="00E51560">
        <w:rPr>
          <w:rFonts w:ascii="Calibri" w:hAnsi="Calibri"/>
          <w:b/>
          <w:sz w:val="22"/>
          <w:szCs w:val="22"/>
        </w:rPr>
        <w:t xml:space="preserve"> </w:t>
      </w:r>
      <w:r>
        <w:rPr>
          <w:rFonts w:ascii="Calibri" w:hAnsi="Calibri"/>
          <w:b/>
          <w:sz w:val="22"/>
          <w:szCs w:val="22"/>
        </w:rPr>
        <w:t>North-II</w:t>
      </w:r>
    </w:p>
    <w:p w14:paraId="7642797F" w14:textId="3DDBFD27" w:rsidR="008F751F"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8F751F">
        <w:rPr>
          <w:rFonts w:ascii="Calibri" w:hAnsi="Calibri"/>
          <w:sz w:val="22"/>
          <w:szCs w:val="22"/>
        </w:rPr>
        <w:t>217, Telephone</w:t>
      </w:r>
      <w:r w:rsidR="000073E4">
        <w:rPr>
          <w:rFonts w:ascii="Calibri" w:hAnsi="Calibri"/>
          <w:sz w:val="22"/>
          <w:szCs w:val="22"/>
        </w:rPr>
        <w:t xml:space="preserve"> </w:t>
      </w:r>
      <w:r w:rsidR="003005BB">
        <w:rPr>
          <w:rFonts w:ascii="Calibri" w:hAnsi="Calibri"/>
          <w:sz w:val="22"/>
          <w:szCs w:val="22"/>
        </w:rPr>
        <w:t>House</w:t>
      </w:r>
      <w:r w:rsidR="008F751F">
        <w:rPr>
          <w:rFonts w:ascii="Calibri" w:hAnsi="Calibri"/>
          <w:sz w:val="22"/>
          <w:szCs w:val="22"/>
        </w:rPr>
        <w:t>, 2</w:t>
      </w:r>
      <w:r w:rsidR="008F751F" w:rsidRPr="008F751F">
        <w:rPr>
          <w:rFonts w:ascii="Calibri" w:hAnsi="Calibri"/>
          <w:sz w:val="22"/>
          <w:szCs w:val="22"/>
          <w:vertAlign w:val="superscript"/>
        </w:rPr>
        <w:t>nd</w:t>
      </w:r>
      <w:r w:rsidR="008F751F">
        <w:rPr>
          <w:rFonts w:ascii="Calibri" w:hAnsi="Calibri"/>
          <w:sz w:val="22"/>
          <w:szCs w:val="22"/>
        </w:rPr>
        <w:t xml:space="preserve"> floor, near Edwardes College, </w:t>
      </w:r>
    </w:p>
    <w:p w14:paraId="564D9737" w14:textId="67912872" w:rsidR="00697B9B" w:rsidRPr="00B92416" w:rsidRDefault="008F751F" w:rsidP="00697B9B">
      <w:pPr>
        <w:tabs>
          <w:tab w:val="left" w:pos="6300"/>
          <w:tab w:val="right" w:pos="9360"/>
        </w:tabs>
        <w:rPr>
          <w:rFonts w:ascii="Calibri" w:hAnsi="Calibri"/>
          <w:sz w:val="22"/>
          <w:szCs w:val="22"/>
        </w:rPr>
      </w:pPr>
      <w:proofErr w:type="spellStart"/>
      <w:r>
        <w:rPr>
          <w:rFonts w:ascii="Calibri" w:hAnsi="Calibri"/>
          <w:sz w:val="22"/>
          <w:szCs w:val="22"/>
        </w:rPr>
        <w:t>Ist</w:t>
      </w:r>
      <w:proofErr w:type="spellEnd"/>
      <w:r w:rsidR="003005BB">
        <w:rPr>
          <w:rFonts w:ascii="Calibri" w:hAnsi="Calibri"/>
          <w:sz w:val="22"/>
          <w:szCs w:val="22"/>
        </w:rPr>
        <w:t xml:space="preserve"> </w:t>
      </w:r>
      <w:r w:rsidR="00A47207">
        <w:rPr>
          <w:rFonts w:ascii="Calibri" w:hAnsi="Calibri"/>
          <w:sz w:val="22"/>
          <w:szCs w:val="22"/>
        </w:rPr>
        <w:t>the</w:t>
      </w:r>
      <w:r w:rsidR="003005BB">
        <w:rPr>
          <w:rFonts w:ascii="Calibri" w:hAnsi="Calibri"/>
          <w:sz w:val="22"/>
          <w:szCs w:val="22"/>
        </w:rPr>
        <w:t xml:space="preserve"> Mall Peshawar</w:t>
      </w:r>
      <w:r>
        <w:rPr>
          <w:rFonts w:ascii="Calibri" w:hAnsi="Calibri"/>
          <w:sz w:val="22"/>
          <w:szCs w:val="22"/>
        </w:rPr>
        <w:t xml:space="preserve"> </w:t>
      </w:r>
      <w:proofErr w:type="spellStart"/>
      <w:r>
        <w:rPr>
          <w:rFonts w:ascii="Calibri" w:hAnsi="Calibri"/>
          <w:sz w:val="22"/>
          <w:szCs w:val="22"/>
        </w:rPr>
        <w:t>cantt</w:t>
      </w:r>
      <w:proofErr w:type="spellEnd"/>
      <w:r>
        <w:rPr>
          <w:rFonts w:ascii="Calibri" w:hAnsi="Calibri"/>
          <w:sz w:val="22"/>
          <w:szCs w:val="22"/>
        </w:rPr>
        <w:t>.</w:t>
      </w:r>
    </w:p>
    <w:p w14:paraId="79AEF12B" w14:textId="4C7C6207" w:rsidR="00697B9B" w:rsidRPr="00B92416" w:rsidRDefault="005322C3" w:rsidP="00697B9B">
      <w:pPr>
        <w:tabs>
          <w:tab w:val="left" w:pos="6300"/>
          <w:tab w:val="right" w:pos="9360"/>
        </w:tabs>
        <w:rPr>
          <w:rFonts w:ascii="Calibri" w:hAnsi="Calibri"/>
          <w:sz w:val="22"/>
          <w:szCs w:val="22"/>
        </w:rPr>
      </w:pPr>
      <w:r>
        <w:rPr>
          <w:rFonts w:ascii="Calibri" w:hAnsi="Calibri"/>
          <w:sz w:val="22"/>
          <w:szCs w:val="22"/>
        </w:rPr>
        <w:t>Asad</w:t>
      </w:r>
      <w:r w:rsidR="003005BB">
        <w:rPr>
          <w:rFonts w:ascii="Calibri" w:hAnsi="Calibri"/>
          <w:sz w:val="22"/>
          <w:szCs w:val="22"/>
        </w:rPr>
        <w:t>.</w:t>
      </w:r>
      <w:r>
        <w:rPr>
          <w:rFonts w:ascii="Calibri" w:hAnsi="Calibri"/>
          <w:sz w:val="22"/>
          <w:szCs w:val="22"/>
        </w:rPr>
        <w:t>Noman</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40F61E23" w:rsidR="00697B9B" w:rsidRPr="00291593" w:rsidRDefault="005322C3" w:rsidP="00697B9B">
      <w:pPr>
        <w:tabs>
          <w:tab w:val="left" w:pos="6300"/>
          <w:tab w:val="right" w:pos="9360"/>
        </w:tabs>
        <w:rPr>
          <w:rFonts w:ascii="Calibri" w:hAnsi="Calibri"/>
          <w:sz w:val="22"/>
          <w:szCs w:val="22"/>
        </w:rPr>
      </w:pPr>
      <w:r>
        <w:rPr>
          <w:rFonts w:ascii="Calibri" w:hAnsi="Calibri"/>
          <w:sz w:val="22"/>
          <w:szCs w:val="22"/>
        </w:rPr>
        <w:t>Contact # 0334-9185371</w:t>
      </w:r>
    </w:p>
    <w:p w14:paraId="4853FEC2" w14:textId="11ADC482" w:rsidR="00766C04" w:rsidRPr="00697B9B" w:rsidRDefault="00766C04" w:rsidP="00697B9B"/>
    <w:sectPr w:rsidR="00766C04" w:rsidRPr="00697B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A82E" w14:textId="77777777" w:rsidR="00956B04" w:rsidRDefault="00956B04" w:rsidP="0047765A">
      <w:r>
        <w:separator/>
      </w:r>
    </w:p>
  </w:endnote>
  <w:endnote w:type="continuationSeparator" w:id="0">
    <w:p w14:paraId="23B45F3B" w14:textId="77777777" w:rsidR="00956B04" w:rsidRDefault="00956B04"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8405" w14:textId="77777777" w:rsidR="00956B04" w:rsidRDefault="00956B04" w:rsidP="0047765A">
      <w:r>
        <w:separator/>
      </w:r>
    </w:p>
  </w:footnote>
  <w:footnote w:type="continuationSeparator" w:id="0">
    <w:p w14:paraId="50D71DD6" w14:textId="77777777" w:rsidR="00956B04" w:rsidRDefault="00956B04"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0CAC76BE" w:rsidR="00611044" w:rsidRDefault="00611044" w:rsidP="00611044">
    <w:pPr>
      <w:rPr>
        <w:b/>
        <w:bCs/>
        <w:color w:val="000000"/>
      </w:rPr>
    </w:pPr>
    <w:r>
      <w:rPr>
        <w:b/>
        <w:bCs/>
        <w:color w:val="000000"/>
      </w:rPr>
      <w:t xml:space="preserve">                                                                </w:t>
    </w:r>
    <w:r w:rsidR="006C6F54" w:rsidRPr="00124439">
      <w:rPr>
        <w:rFonts w:asciiTheme="minorHAnsi" w:hAnsiTheme="minorHAnsi" w:cstheme="minorHAnsi"/>
        <w:b/>
      </w:rPr>
      <w:t>Tender Number:</w:t>
    </w:r>
    <w:r w:rsidR="006C6F54" w:rsidRPr="00AA53D9">
      <w:rPr>
        <w:rFonts w:asciiTheme="minorHAnsi" w:hAnsiTheme="minorHAnsi" w:cstheme="minorHAnsi"/>
        <w:b/>
      </w:rPr>
      <w:t xml:space="preserve"> </w:t>
    </w:r>
    <w:r w:rsidR="006C6F54" w:rsidRPr="00E42198">
      <w:rPr>
        <w:rFonts w:asciiTheme="minorHAnsi" w:hAnsiTheme="minorHAnsi" w:cstheme="minorHAnsi"/>
        <w:bCs/>
        <w:sz w:val="36"/>
        <w:szCs w:val="36"/>
      </w:rPr>
      <w:t xml:space="preserve"> </w:t>
    </w:r>
    <w:r w:rsidR="006C6F54" w:rsidRPr="0023738E">
      <w:rPr>
        <w:rFonts w:asciiTheme="minorHAnsi" w:hAnsiTheme="minorHAnsi" w:cstheme="minorHAnsi"/>
        <w:b/>
      </w:rPr>
      <w:t>R-PROC.</w:t>
    </w:r>
    <w:r w:rsidR="006C6F54">
      <w:rPr>
        <w:rFonts w:asciiTheme="minorHAnsi" w:hAnsiTheme="minorHAnsi" w:cstheme="minorHAnsi"/>
        <w:b/>
      </w:rPr>
      <w:t>1 /CW</w:t>
    </w:r>
    <w:r w:rsidR="006C6F54" w:rsidRPr="0023738E">
      <w:rPr>
        <w:rFonts w:asciiTheme="minorHAnsi" w:hAnsiTheme="minorHAnsi" w:cstheme="minorHAnsi"/>
        <w:b/>
      </w:rPr>
      <w:t>-2025 /</w:t>
    </w:r>
    <w:r w:rsidR="006C6F54">
      <w:rPr>
        <w:rFonts w:asciiTheme="minorHAnsi" w:hAnsiTheme="minorHAnsi" w:cstheme="minorHAnsi"/>
        <w:b/>
      </w:rPr>
      <w:t>2026</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9C8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2"/>
  </w:num>
  <w:num w:numId="2" w16cid:durableId="1150370633">
    <w:abstractNumId w:val="3"/>
  </w:num>
  <w:num w:numId="3" w16cid:durableId="928659617">
    <w:abstractNumId w:val="1"/>
  </w:num>
  <w:num w:numId="4" w16cid:durableId="87392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C11C8"/>
    <w:rsid w:val="000F5888"/>
    <w:rsid w:val="001916D4"/>
    <w:rsid w:val="001A7C0B"/>
    <w:rsid w:val="001B7F19"/>
    <w:rsid w:val="001C6FB1"/>
    <w:rsid w:val="00234D3A"/>
    <w:rsid w:val="00241F7D"/>
    <w:rsid w:val="002739AB"/>
    <w:rsid w:val="00282584"/>
    <w:rsid w:val="00285115"/>
    <w:rsid w:val="00291593"/>
    <w:rsid w:val="00294DAE"/>
    <w:rsid w:val="0029661D"/>
    <w:rsid w:val="003005BB"/>
    <w:rsid w:val="00311689"/>
    <w:rsid w:val="003627D7"/>
    <w:rsid w:val="003C6C53"/>
    <w:rsid w:val="003D757C"/>
    <w:rsid w:val="003E548E"/>
    <w:rsid w:val="00434D2C"/>
    <w:rsid w:val="004432E6"/>
    <w:rsid w:val="00445168"/>
    <w:rsid w:val="004654A8"/>
    <w:rsid w:val="0047765A"/>
    <w:rsid w:val="00496541"/>
    <w:rsid w:val="004A76D2"/>
    <w:rsid w:val="004B5A9C"/>
    <w:rsid w:val="004D0D63"/>
    <w:rsid w:val="004F1538"/>
    <w:rsid w:val="005322C3"/>
    <w:rsid w:val="0054113C"/>
    <w:rsid w:val="005518C7"/>
    <w:rsid w:val="0056776F"/>
    <w:rsid w:val="005A6764"/>
    <w:rsid w:val="005C355F"/>
    <w:rsid w:val="005D40B6"/>
    <w:rsid w:val="00602D0E"/>
    <w:rsid w:val="00611044"/>
    <w:rsid w:val="006410C3"/>
    <w:rsid w:val="0064494E"/>
    <w:rsid w:val="0069386D"/>
    <w:rsid w:val="00697B9B"/>
    <w:rsid w:val="006C1187"/>
    <w:rsid w:val="006C6F54"/>
    <w:rsid w:val="007277DE"/>
    <w:rsid w:val="00736D35"/>
    <w:rsid w:val="007605AD"/>
    <w:rsid w:val="0076366A"/>
    <w:rsid w:val="00766C04"/>
    <w:rsid w:val="00772725"/>
    <w:rsid w:val="0078043E"/>
    <w:rsid w:val="007A6546"/>
    <w:rsid w:val="007C50F9"/>
    <w:rsid w:val="007C632D"/>
    <w:rsid w:val="0083161D"/>
    <w:rsid w:val="00845147"/>
    <w:rsid w:val="008664B1"/>
    <w:rsid w:val="00895F60"/>
    <w:rsid w:val="008C22C1"/>
    <w:rsid w:val="008F751F"/>
    <w:rsid w:val="0095422F"/>
    <w:rsid w:val="00954C6D"/>
    <w:rsid w:val="00956B04"/>
    <w:rsid w:val="00967A4A"/>
    <w:rsid w:val="00981842"/>
    <w:rsid w:val="00987E13"/>
    <w:rsid w:val="0099340F"/>
    <w:rsid w:val="009B54B1"/>
    <w:rsid w:val="009B5890"/>
    <w:rsid w:val="009E044D"/>
    <w:rsid w:val="00A1255F"/>
    <w:rsid w:val="00A236BE"/>
    <w:rsid w:val="00A47207"/>
    <w:rsid w:val="00A76367"/>
    <w:rsid w:val="00A77A30"/>
    <w:rsid w:val="00AC401B"/>
    <w:rsid w:val="00AF025A"/>
    <w:rsid w:val="00B0446B"/>
    <w:rsid w:val="00B35A76"/>
    <w:rsid w:val="00B77E00"/>
    <w:rsid w:val="00B908CE"/>
    <w:rsid w:val="00B92416"/>
    <w:rsid w:val="00BD72BA"/>
    <w:rsid w:val="00BE2EF5"/>
    <w:rsid w:val="00C532A8"/>
    <w:rsid w:val="00CA11D0"/>
    <w:rsid w:val="00CC7C47"/>
    <w:rsid w:val="00CF19A8"/>
    <w:rsid w:val="00CF5F21"/>
    <w:rsid w:val="00D15B11"/>
    <w:rsid w:val="00D24BE1"/>
    <w:rsid w:val="00D33401"/>
    <w:rsid w:val="00D77339"/>
    <w:rsid w:val="00D92C01"/>
    <w:rsid w:val="00DA6B59"/>
    <w:rsid w:val="00DD4403"/>
    <w:rsid w:val="00DD4CF5"/>
    <w:rsid w:val="00DE197F"/>
    <w:rsid w:val="00E15322"/>
    <w:rsid w:val="00E733CD"/>
    <w:rsid w:val="00E9270F"/>
    <w:rsid w:val="00EA4F6B"/>
    <w:rsid w:val="00EB5556"/>
    <w:rsid w:val="00ED0630"/>
    <w:rsid w:val="00F13204"/>
    <w:rsid w:val="00F16915"/>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 w:type="paragraph" w:customStyle="1" w:styleId="Default">
    <w:name w:val="Default"/>
    <w:rsid w:val="005322C3"/>
    <w:pPr>
      <w:autoSpaceDE w:val="0"/>
      <w:autoSpaceDN w:val="0"/>
      <w:adjustRightInd w:val="0"/>
      <w:spacing w:after="0" w:line="240" w:lineRule="auto"/>
    </w:pPr>
    <w:rPr>
      <w:rFonts w:ascii="Calibri" w:hAnsi="Calibri" w:cs="Calibri"/>
      <w:color w:val="000000"/>
      <w:sz w:val="24"/>
      <w:szCs w:val="24"/>
      <w:lang w:val="en-PK"/>
    </w:rPr>
  </w:style>
  <w:style w:type="character" w:styleId="Hyperlink">
    <w:name w:val="Hyperlink"/>
    <w:basedOn w:val="DefaultParagraphFont"/>
    <w:uiPriority w:val="99"/>
    <w:unhideWhenUsed/>
    <w:rsid w:val="005322C3"/>
    <w:rPr>
      <w:color w:val="0563C1" w:themeColor="hyperlink"/>
      <w:u w:val="single"/>
    </w:rPr>
  </w:style>
  <w:style w:type="character" w:styleId="UnresolvedMention">
    <w:name w:val="Unresolved Mention"/>
    <w:basedOn w:val="DefaultParagraphFont"/>
    <w:uiPriority w:val="99"/>
    <w:semiHidden/>
    <w:unhideWhenUsed/>
    <w:rsid w:val="0053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em.khan2@ptclgroup.com" TargetMode="External"/><Relationship Id="rId3" Type="http://schemas.openxmlformats.org/officeDocument/2006/relationships/settings" Target="settings.xml"/><Relationship Id="rId7" Type="http://schemas.openxmlformats.org/officeDocument/2006/relationships/hyperlink" Target="mailto:mehmood.nasir@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3</cp:revision>
  <dcterms:created xsi:type="dcterms:W3CDTF">2025-05-15T08:58:00Z</dcterms:created>
  <dcterms:modified xsi:type="dcterms:W3CDTF">2025-05-15T10:10:00Z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