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2" w:type="dxa"/>
        <w:jc w:val="center"/>
        <w:tblLook w:val="01E0" w:firstRow="1" w:lastRow="1" w:firstColumn="1" w:lastColumn="1" w:noHBand="0" w:noVBand="0"/>
      </w:tblPr>
      <w:tblGrid>
        <w:gridCol w:w="2676"/>
        <w:gridCol w:w="6726"/>
      </w:tblGrid>
      <w:tr w:rsidR="00795B31" w:rsidRPr="00DD0A10" w:rsidTr="005D670C">
        <w:trPr>
          <w:trHeight w:val="1026"/>
          <w:jc w:val="center"/>
        </w:trPr>
        <w:tc>
          <w:tcPr>
            <w:tcW w:w="2660" w:type="dxa"/>
          </w:tcPr>
          <w:p w:rsidR="00795B31" w:rsidRPr="00DD0A10" w:rsidRDefault="00795B31" w:rsidP="005D670C">
            <w:pPr>
              <w:rPr>
                <w:rFonts w:asciiTheme="majorHAnsi" w:hAnsiTheme="majorHAnsi" w:cs="Arial"/>
                <w:sz w:val="24"/>
                <w:szCs w:val="24"/>
              </w:rPr>
            </w:pPr>
            <w:r w:rsidRPr="00DD0A10">
              <w:rPr>
                <w:rFonts w:asciiTheme="majorHAnsi" w:hAnsiTheme="majorHAnsi" w:cs="Arial"/>
                <w:noProof/>
                <w:sz w:val="22"/>
                <w:szCs w:val="22"/>
              </w:rPr>
              <w:drawing>
                <wp:inline distT="0" distB="0" distL="0" distR="0" wp14:anchorId="4D6DDA2E" wp14:editId="0A57E7DD">
                  <wp:extent cx="1552575" cy="560705"/>
                  <wp:effectExtent l="0" t="0" r="9525"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pic:spPr>
                      </pic:pic>
                    </a:graphicData>
                  </a:graphic>
                </wp:inline>
              </w:drawing>
            </w:r>
          </w:p>
        </w:tc>
        <w:tc>
          <w:tcPr>
            <w:tcW w:w="6742" w:type="dxa"/>
          </w:tcPr>
          <w:p w:rsidR="00795B31" w:rsidRPr="00DD0A10" w:rsidRDefault="00795B31" w:rsidP="005D670C">
            <w:pPr>
              <w:keepNext/>
              <w:widowControl w:val="0"/>
              <w:tabs>
                <w:tab w:val="left" w:pos="2108"/>
              </w:tabs>
              <w:autoSpaceDE w:val="0"/>
              <w:autoSpaceDN w:val="0"/>
              <w:adjustRightInd w:val="0"/>
              <w:ind w:right="-279"/>
              <w:outlineLvl w:val="0"/>
              <w:rPr>
                <w:rFonts w:asciiTheme="majorHAnsi" w:hAnsiTheme="majorHAnsi"/>
                <w:b/>
                <w:bCs/>
                <w:sz w:val="28"/>
                <w:szCs w:val="32"/>
                <w:u w:val="single"/>
              </w:rPr>
            </w:pPr>
            <w:r w:rsidRPr="00DD0A10">
              <w:rPr>
                <w:rFonts w:asciiTheme="majorHAnsi" w:hAnsiTheme="majorHAnsi"/>
                <w:b/>
                <w:bCs/>
                <w:sz w:val="28"/>
                <w:szCs w:val="32"/>
                <w:u w:val="single"/>
              </w:rPr>
              <w:t>Pakistan Telecommunication Company Limited</w:t>
            </w:r>
          </w:p>
          <w:p w:rsidR="00795B31" w:rsidRPr="00DD0A10" w:rsidRDefault="00795B31" w:rsidP="005D670C">
            <w:pPr>
              <w:tabs>
                <w:tab w:val="left" w:pos="1467"/>
                <w:tab w:val="left" w:pos="17919"/>
              </w:tabs>
              <w:ind w:right="-108"/>
              <w:rPr>
                <w:rFonts w:asciiTheme="majorHAnsi" w:hAnsiTheme="majorHAnsi"/>
                <w:sz w:val="24"/>
                <w:szCs w:val="24"/>
              </w:rPr>
            </w:pPr>
            <w:r w:rsidRPr="00DD0A10">
              <w:rPr>
                <w:rFonts w:asciiTheme="majorHAnsi" w:hAnsiTheme="majorHAnsi"/>
                <w:b/>
                <w:sz w:val="22"/>
                <w:szCs w:val="22"/>
              </w:rPr>
              <w:t>HEADQUARTERS, G-8/4, ISLAMABAD</w:t>
            </w:r>
          </w:p>
          <w:p w:rsidR="00795B31" w:rsidRPr="00DD0A10" w:rsidRDefault="00795B31" w:rsidP="005D670C">
            <w:pPr>
              <w:keepNext/>
              <w:widowControl w:val="0"/>
              <w:tabs>
                <w:tab w:val="left" w:pos="922"/>
                <w:tab w:val="left" w:pos="5799"/>
              </w:tabs>
              <w:autoSpaceDE w:val="0"/>
              <w:autoSpaceDN w:val="0"/>
              <w:adjustRightInd w:val="0"/>
              <w:ind w:right="-360"/>
              <w:jc w:val="center"/>
              <w:outlineLvl w:val="4"/>
              <w:rPr>
                <w:rFonts w:asciiTheme="majorHAnsi" w:hAnsiTheme="majorHAnsi" w:cs="Arial"/>
                <w:sz w:val="28"/>
                <w:szCs w:val="24"/>
              </w:rPr>
            </w:pPr>
          </w:p>
        </w:tc>
      </w:tr>
    </w:tbl>
    <w:p w:rsidR="00795B31" w:rsidRDefault="00795B31" w:rsidP="00795B31">
      <w:pPr>
        <w:spacing w:before="120"/>
        <w:rPr>
          <w:rFonts w:ascii="Calibri" w:hAnsi="Calibri" w:cs="Neo Tech Alt Medium"/>
          <w:b/>
          <w:bCs/>
          <w:sz w:val="28"/>
          <w:szCs w:val="28"/>
        </w:rPr>
      </w:pPr>
    </w:p>
    <w:p w:rsidR="00017CAE" w:rsidRPr="00620B02" w:rsidRDefault="00017CAE" w:rsidP="00017CAE">
      <w:pPr>
        <w:spacing w:before="120"/>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836D37" w:rsidRPr="00795B31" w:rsidRDefault="00795B31" w:rsidP="00836D37">
      <w:pPr>
        <w:ind w:left="720" w:hanging="720"/>
        <w:jc w:val="center"/>
        <w:rPr>
          <w:rFonts w:ascii="Calibri" w:hAnsi="Calibri" w:cs="Neo Tech Alt Medium"/>
          <w:b/>
          <w:bCs/>
          <w:sz w:val="22"/>
          <w:szCs w:val="22"/>
        </w:rPr>
      </w:pPr>
      <w:r w:rsidRPr="00795B31">
        <w:rPr>
          <w:rFonts w:ascii="Calibri" w:hAnsi="Calibri" w:cs="Neo Tech Alt Medium"/>
          <w:b/>
          <w:bCs/>
          <w:sz w:val="22"/>
          <w:szCs w:val="22"/>
        </w:rPr>
        <w:t>Tender</w:t>
      </w:r>
      <w:r w:rsidR="00836D37" w:rsidRPr="00795B31">
        <w:rPr>
          <w:rFonts w:ascii="Calibri" w:hAnsi="Calibri" w:cs="Neo Tech Alt Medium"/>
          <w:b/>
          <w:bCs/>
          <w:sz w:val="22"/>
          <w:szCs w:val="22"/>
        </w:rPr>
        <w:t xml:space="preserve"> No.</w:t>
      </w:r>
      <w:r w:rsidR="00E00AB3" w:rsidRPr="00795B31">
        <w:rPr>
          <w:rFonts w:ascii="Calibri" w:hAnsi="Calibri" w:cs="Neo Tech Alt Medium"/>
          <w:b/>
          <w:bCs/>
          <w:sz w:val="22"/>
          <w:szCs w:val="22"/>
        </w:rPr>
        <w:t>Proc.3-2/2/010817/1768</w:t>
      </w:r>
    </w:p>
    <w:p w:rsidR="00E00AB3" w:rsidRPr="00A02404" w:rsidRDefault="00E00AB3" w:rsidP="00836D37">
      <w:pPr>
        <w:ind w:left="720" w:hanging="720"/>
        <w:jc w:val="center"/>
        <w:rPr>
          <w:rFonts w:ascii="Calibri" w:hAnsi="Calibri" w:cs="Neo Tech Alt Medium"/>
          <w:b/>
          <w:bCs/>
          <w:sz w:val="28"/>
          <w:szCs w:val="28"/>
        </w:rPr>
      </w:pPr>
    </w:p>
    <w:p w:rsidR="00280443" w:rsidRPr="00795B31" w:rsidRDefault="00280443" w:rsidP="00280443">
      <w:pPr>
        <w:jc w:val="center"/>
        <w:rPr>
          <w:rFonts w:asciiTheme="majorHAnsi" w:hAnsiTheme="majorHAnsi"/>
          <w:b/>
          <w:bCs/>
          <w:snapToGrid w:val="0"/>
          <w:sz w:val="28"/>
          <w:szCs w:val="28"/>
        </w:rPr>
      </w:pPr>
      <w:bookmarkStart w:id="0" w:name="_GoBack"/>
      <w:r w:rsidRPr="00795B31">
        <w:rPr>
          <w:rFonts w:asciiTheme="majorHAnsi" w:hAnsiTheme="majorHAnsi"/>
          <w:b/>
          <w:bCs/>
          <w:snapToGrid w:val="0"/>
          <w:sz w:val="28"/>
          <w:szCs w:val="28"/>
        </w:rPr>
        <w:t xml:space="preserve">Supply, Installation, Testing &amp; Commissioning of Planning Tool for IP Network on Turnkey basis </w:t>
      </w:r>
    </w:p>
    <w:bookmarkEnd w:id="0"/>
    <w:p w:rsidR="00836D37" w:rsidRPr="00096E13" w:rsidRDefault="00836D37" w:rsidP="00D93007">
      <w:pPr>
        <w:jc w:val="center"/>
        <w:rPr>
          <w:b/>
        </w:rPr>
      </w:pPr>
    </w:p>
    <w:p w:rsidR="00836D37" w:rsidRPr="004726FC" w:rsidRDefault="00836D37" w:rsidP="00836D37">
      <w:pPr>
        <w:ind w:left="720"/>
        <w:jc w:val="both"/>
        <w:rPr>
          <w:rFonts w:ascii="Calibri" w:hAnsi="Calibri" w:cs="Neo Tech Alt"/>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 xml:space="preserve">Sealed bids are invited for </w:t>
      </w:r>
      <w:r w:rsidR="00A532DD" w:rsidRPr="00795B31">
        <w:rPr>
          <w:rFonts w:asciiTheme="minorHAnsi" w:hAnsiTheme="minorHAnsi" w:cstheme="minorHAnsi"/>
          <w:b/>
          <w:sz w:val="22"/>
          <w:szCs w:val="22"/>
        </w:rPr>
        <w:t xml:space="preserve">Supply, Installation, </w:t>
      </w:r>
      <w:r w:rsidR="00111344" w:rsidRPr="00795B31">
        <w:rPr>
          <w:rFonts w:asciiTheme="minorHAnsi" w:hAnsiTheme="minorHAnsi" w:cstheme="minorHAnsi"/>
          <w:b/>
          <w:sz w:val="22"/>
          <w:szCs w:val="22"/>
        </w:rPr>
        <w:t>Testing</w:t>
      </w:r>
      <w:r w:rsidR="00A532DD" w:rsidRPr="00795B31">
        <w:rPr>
          <w:rFonts w:asciiTheme="minorHAnsi" w:hAnsiTheme="minorHAnsi" w:cstheme="minorHAnsi"/>
          <w:b/>
          <w:sz w:val="22"/>
          <w:szCs w:val="22"/>
        </w:rPr>
        <w:t xml:space="preserve"> &amp; Commissioning of Planning Tool for IP Network on Turnkey basis </w:t>
      </w:r>
      <w:r w:rsidRPr="00795B31">
        <w:rPr>
          <w:rFonts w:asciiTheme="minorHAnsi" w:hAnsiTheme="minorHAnsi" w:cstheme="minorHAnsi"/>
          <w:sz w:val="22"/>
          <w:szCs w:val="22"/>
        </w:rPr>
        <w:t xml:space="preserve">in accordance with Scope of Work and </w:t>
      </w:r>
      <w:r w:rsidR="002E31B2">
        <w:rPr>
          <w:rFonts w:asciiTheme="minorHAnsi" w:hAnsiTheme="minorHAnsi" w:cstheme="minorHAnsi"/>
          <w:sz w:val="22"/>
          <w:szCs w:val="22"/>
        </w:rPr>
        <w:t>BOQ as specified in the tender d</w:t>
      </w:r>
      <w:r w:rsidRPr="00795B31">
        <w:rPr>
          <w:rFonts w:asciiTheme="minorHAnsi" w:hAnsiTheme="minorHAnsi" w:cstheme="minorHAnsi"/>
          <w:sz w:val="22"/>
          <w:szCs w:val="22"/>
        </w:rPr>
        <w:t>ocuments. Bids can be submitted on foreign portion on CFR (US$) and local portion on DDP (Pak Rupees).</w:t>
      </w:r>
    </w:p>
    <w:p w:rsidR="00836D37" w:rsidRPr="00795B31" w:rsidRDefault="00836D37" w:rsidP="00795B31">
      <w:pPr>
        <w:ind w:left="720" w:hanging="720"/>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Bids shall be submitted i</w:t>
      </w:r>
      <w:r w:rsidR="00795B31">
        <w:rPr>
          <w:rFonts w:asciiTheme="minorHAnsi" w:hAnsiTheme="minorHAnsi" w:cstheme="minorHAnsi"/>
          <w:sz w:val="22"/>
          <w:szCs w:val="22"/>
        </w:rPr>
        <w:t xml:space="preserve">n PTCL Headquarters, G-8/4, </w:t>
      </w:r>
      <w:r w:rsidRPr="00795B31">
        <w:rPr>
          <w:rFonts w:asciiTheme="minorHAnsi" w:hAnsiTheme="minorHAnsi" w:cstheme="minorHAnsi"/>
          <w:sz w:val="22"/>
          <w:szCs w:val="22"/>
        </w:rPr>
        <w:t>Islamabad as per instructions provided in t</w:t>
      </w:r>
      <w:r w:rsidR="00795B31">
        <w:rPr>
          <w:rFonts w:asciiTheme="minorHAnsi" w:hAnsiTheme="minorHAnsi" w:cstheme="minorHAnsi"/>
          <w:sz w:val="22"/>
          <w:szCs w:val="22"/>
        </w:rPr>
        <w:t xml:space="preserve">ender documents on or before </w:t>
      </w:r>
      <w:r w:rsidR="00795B31" w:rsidRPr="00795B31">
        <w:rPr>
          <w:rFonts w:asciiTheme="minorHAnsi" w:hAnsiTheme="minorHAnsi" w:cstheme="minorHAnsi"/>
          <w:b/>
          <w:sz w:val="22"/>
          <w:szCs w:val="22"/>
        </w:rPr>
        <w:t>12</w:t>
      </w:r>
      <w:r w:rsidRPr="00795B31">
        <w:rPr>
          <w:rFonts w:asciiTheme="minorHAnsi" w:hAnsiTheme="minorHAnsi" w:cstheme="minorHAnsi"/>
          <w:b/>
          <w:sz w:val="22"/>
          <w:szCs w:val="22"/>
        </w:rPr>
        <w:t>00 H</w:t>
      </w:r>
      <w:r w:rsidR="00795B31" w:rsidRPr="00795B31">
        <w:rPr>
          <w:rFonts w:asciiTheme="minorHAnsi" w:hAnsiTheme="minorHAnsi" w:cstheme="minorHAnsi"/>
          <w:b/>
          <w:sz w:val="22"/>
          <w:szCs w:val="22"/>
        </w:rPr>
        <w:t>ou</w:t>
      </w:r>
      <w:r w:rsidRPr="00795B31">
        <w:rPr>
          <w:rFonts w:asciiTheme="minorHAnsi" w:hAnsiTheme="minorHAnsi" w:cstheme="minorHAnsi"/>
          <w:b/>
          <w:sz w:val="22"/>
          <w:szCs w:val="22"/>
        </w:rPr>
        <w:t>r</w:t>
      </w:r>
      <w:r w:rsidR="00795B31" w:rsidRPr="00795B31">
        <w:rPr>
          <w:rFonts w:asciiTheme="minorHAnsi" w:hAnsiTheme="minorHAnsi" w:cstheme="minorHAnsi"/>
          <w:b/>
          <w:sz w:val="22"/>
          <w:szCs w:val="22"/>
        </w:rPr>
        <w:t>s</w:t>
      </w:r>
      <w:r w:rsidRPr="00795B31">
        <w:rPr>
          <w:rFonts w:asciiTheme="minorHAnsi" w:hAnsiTheme="minorHAnsi" w:cstheme="minorHAnsi"/>
          <w:b/>
          <w:sz w:val="22"/>
          <w:szCs w:val="22"/>
        </w:rPr>
        <w:t xml:space="preserve">. Dated: </w:t>
      </w:r>
      <w:r w:rsidR="008676A5">
        <w:rPr>
          <w:rFonts w:asciiTheme="minorHAnsi" w:hAnsiTheme="minorHAnsi" w:cstheme="minorHAnsi"/>
          <w:b/>
          <w:sz w:val="22"/>
          <w:szCs w:val="22"/>
        </w:rPr>
        <w:t>29</w:t>
      </w:r>
      <w:r w:rsidRPr="00795B31">
        <w:rPr>
          <w:rFonts w:asciiTheme="minorHAnsi" w:hAnsiTheme="minorHAnsi" w:cstheme="minorHAnsi"/>
          <w:b/>
          <w:sz w:val="22"/>
          <w:szCs w:val="22"/>
        </w:rPr>
        <w:t>-0</w:t>
      </w:r>
      <w:r w:rsidR="00337256" w:rsidRPr="00795B31">
        <w:rPr>
          <w:rFonts w:asciiTheme="minorHAnsi" w:hAnsiTheme="minorHAnsi" w:cstheme="minorHAnsi"/>
          <w:b/>
          <w:sz w:val="22"/>
          <w:szCs w:val="22"/>
        </w:rPr>
        <w:t>8</w:t>
      </w:r>
      <w:r w:rsidRPr="00795B31">
        <w:rPr>
          <w:rFonts w:asciiTheme="minorHAnsi" w:hAnsiTheme="minorHAnsi" w:cstheme="minorHAnsi"/>
          <w:b/>
          <w:sz w:val="22"/>
          <w:szCs w:val="22"/>
        </w:rPr>
        <w:t>-2017</w:t>
      </w:r>
      <w:r w:rsidRPr="00795B31">
        <w:rPr>
          <w:rFonts w:asciiTheme="minorHAnsi" w:hAnsiTheme="minorHAnsi" w:cstheme="minorHAnsi"/>
          <w:sz w:val="22"/>
          <w:szCs w:val="22"/>
        </w:rPr>
        <w:t xml:space="preserve">. </w:t>
      </w:r>
    </w:p>
    <w:p w:rsidR="00836D37" w:rsidRPr="00795B31" w:rsidRDefault="00836D37" w:rsidP="00795B31">
      <w:pPr>
        <w:ind w:left="720" w:hanging="720"/>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 xml:space="preserve">Tender documents can be purchased from the </w:t>
      </w:r>
      <w:r w:rsidR="002E31B2">
        <w:rPr>
          <w:rFonts w:asciiTheme="minorHAnsi" w:hAnsiTheme="minorHAnsi" w:cstheme="minorHAnsi"/>
          <w:sz w:val="22"/>
          <w:szCs w:val="22"/>
        </w:rPr>
        <w:t xml:space="preserve">office of </w:t>
      </w:r>
      <w:r w:rsidRPr="00795B31">
        <w:rPr>
          <w:rFonts w:asciiTheme="minorHAnsi" w:hAnsiTheme="minorHAnsi" w:cstheme="minorHAnsi"/>
          <w:sz w:val="22"/>
          <w:szCs w:val="22"/>
        </w:rPr>
        <w:t xml:space="preserve">undersigned on payment of </w:t>
      </w:r>
      <w:proofErr w:type="spellStart"/>
      <w:r w:rsidR="002E31B2">
        <w:rPr>
          <w:rFonts w:asciiTheme="minorHAnsi" w:hAnsiTheme="minorHAnsi" w:cstheme="minorHAnsi"/>
          <w:b/>
          <w:sz w:val="22"/>
          <w:szCs w:val="22"/>
        </w:rPr>
        <w:t>Rs</w:t>
      </w:r>
      <w:proofErr w:type="spellEnd"/>
      <w:r w:rsidR="002E31B2">
        <w:rPr>
          <w:rFonts w:asciiTheme="minorHAnsi" w:hAnsiTheme="minorHAnsi" w:cstheme="minorHAnsi"/>
          <w:b/>
          <w:sz w:val="22"/>
          <w:szCs w:val="22"/>
        </w:rPr>
        <w:t>. 2</w:t>
      </w:r>
      <w:r w:rsidR="00C1344B">
        <w:rPr>
          <w:rFonts w:asciiTheme="minorHAnsi" w:hAnsiTheme="minorHAnsi" w:cstheme="minorHAnsi"/>
          <w:b/>
          <w:sz w:val="22"/>
          <w:szCs w:val="22"/>
        </w:rPr>
        <w:t>,</w:t>
      </w:r>
      <w:r w:rsidR="002E31B2">
        <w:rPr>
          <w:rFonts w:asciiTheme="minorHAnsi" w:hAnsiTheme="minorHAnsi" w:cstheme="minorHAnsi"/>
          <w:b/>
          <w:sz w:val="22"/>
          <w:szCs w:val="22"/>
        </w:rPr>
        <w:t>500/</w:t>
      </w:r>
      <w:r w:rsidRPr="002E31B2">
        <w:rPr>
          <w:rFonts w:asciiTheme="minorHAnsi" w:hAnsiTheme="minorHAnsi" w:cstheme="minorHAnsi"/>
          <w:b/>
          <w:sz w:val="22"/>
          <w:szCs w:val="22"/>
        </w:rPr>
        <w:t>-</w:t>
      </w:r>
      <w:r w:rsidRPr="00795B31">
        <w:rPr>
          <w:rFonts w:asciiTheme="minorHAnsi" w:hAnsiTheme="minorHAnsi" w:cstheme="minorHAnsi"/>
          <w:sz w:val="22"/>
          <w:szCs w:val="22"/>
        </w:rPr>
        <w:t xml:space="preserve"> (non</w:t>
      </w:r>
      <w:r w:rsidR="002E31B2">
        <w:rPr>
          <w:rFonts w:asciiTheme="minorHAnsi" w:hAnsiTheme="minorHAnsi" w:cstheme="minorHAnsi"/>
          <w:sz w:val="22"/>
          <w:szCs w:val="22"/>
        </w:rPr>
        <w:t>-refundable) through demand d</w:t>
      </w:r>
      <w:r w:rsidRPr="00795B31">
        <w:rPr>
          <w:rFonts w:asciiTheme="minorHAnsi" w:hAnsiTheme="minorHAnsi" w:cstheme="minorHAnsi"/>
          <w:sz w:val="22"/>
          <w:szCs w:val="22"/>
        </w:rPr>
        <w:t>raft/pay order in favor of Pakistan Telec</w:t>
      </w:r>
      <w:r w:rsidR="002E31B2">
        <w:rPr>
          <w:rFonts w:asciiTheme="minorHAnsi" w:hAnsiTheme="minorHAnsi" w:cstheme="minorHAnsi"/>
          <w:sz w:val="22"/>
          <w:szCs w:val="22"/>
        </w:rPr>
        <w:t>ommunication Company Limited, H</w:t>
      </w:r>
      <w:r w:rsidRPr="00795B31">
        <w:rPr>
          <w:rFonts w:asciiTheme="minorHAnsi" w:hAnsiTheme="minorHAnsi" w:cstheme="minorHAnsi"/>
          <w:sz w:val="22"/>
          <w:szCs w:val="22"/>
        </w:rPr>
        <w:t>Qs</w:t>
      </w:r>
      <w:r w:rsidR="002E31B2">
        <w:rPr>
          <w:rFonts w:asciiTheme="minorHAnsi" w:hAnsiTheme="minorHAnsi" w:cstheme="minorHAnsi"/>
          <w:sz w:val="22"/>
          <w:szCs w:val="22"/>
        </w:rPr>
        <w:t>, G-8/4,</w:t>
      </w:r>
      <w:r w:rsidRPr="00795B31">
        <w:rPr>
          <w:rFonts w:asciiTheme="minorHAnsi" w:hAnsiTheme="minorHAnsi" w:cstheme="minorHAnsi"/>
          <w:sz w:val="22"/>
          <w:szCs w:val="22"/>
        </w:rPr>
        <w:t xml:space="preserve"> Islamabad.</w:t>
      </w:r>
    </w:p>
    <w:p w:rsidR="00836D37" w:rsidRPr="00795B31" w:rsidRDefault="00836D37" w:rsidP="00795B31">
      <w:pPr>
        <w:pStyle w:val="ListParagraph"/>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Bids received after the above deadline shall not be accepted and be r</w:t>
      </w:r>
      <w:r w:rsidR="002E31B2">
        <w:rPr>
          <w:rFonts w:asciiTheme="minorHAnsi" w:hAnsiTheme="minorHAnsi" w:cstheme="minorHAnsi"/>
          <w:sz w:val="22"/>
          <w:szCs w:val="22"/>
        </w:rPr>
        <w:t>eturned unopened. Bids through e-mail / fax / c</w:t>
      </w:r>
      <w:r w:rsidRPr="00795B31">
        <w:rPr>
          <w:rFonts w:asciiTheme="minorHAnsi" w:hAnsiTheme="minorHAnsi" w:cstheme="minorHAnsi"/>
          <w:sz w:val="22"/>
          <w:szCs w:val="22"/>
        </w:rPr>
        <w:t>ourier shall not be accepted.</w:t>
      </w:r>
    </w:p>
    <w:p w:rsidR="00836D37" w:rsidRPr="00795B31" w:rsidRDefault="00836D37" w:rsidP="00795B31">
      <w:pPr>
        <w:pStyle w:val="ListParagraph"/>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Commercial bids must be accompanied by a bid security of 2% (two percent) of the total value of the bid</w:t>
      </w:r>
      <w:r w:rsidRPr="002E31B2">
        <w:rPr>
          <w:rFonts w:asciiTheme="minorHAnsi" w:hAnsiTheme="minorHAnsi" w:cstheme="minorHAnsi"/>
          <w:sz w:val="22"/>
          <w:szCs w:val="22"/>
        </w:rPr>
        <w:t>.</w:t>
      </w:r>
      <w:r w:rsidRPr="002E31B2">
        <w:rPr>
          <w:rFonts w:asciiTheme="minorHAnsi" w:hAnsiTheme="minorHAnsi" w:cstheme="minorHAnsi"/>
          <w:b/>
          <w:bCs/>
          <w:sz w:val="22"/>
          <w:szCs w:val="22"/>
        </w:rPr>
        <w:t xml:space="preserve"> In case of non-compliance, the bids will be disqualified from further processing.</w:t>
      </w:r>
    </w:p>
    <w:p w:rsidR="00836D37" w:rsidRPr="00795B31" w:rsidRDefault="00836D37" w:rsidP="00795B31">
      <w:pPr>
        <w:pStyle w:val="ListParagraph"/>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 xml:space="preserve">Bids shall also be submitted online through e-procurement portal before deadline at </w:t>
      </w:r>
      <w:hyperlink r:id="rId6" w:history="1">
        <w:r w:rsidRPr="00795B31">
          <w:rPr>
            <w:rStyle w:val="Hyperlink"/>
            <w:rFonts w:asciiTheme="minorHAnsi" w:hAnsiTheme="minorHAnsi" w:cstheme="minorHAnsi"/>
            <w:sz w:val="22"/>
            <w:szCs w:val="22"/>
          </w:rPr>
          <w:t>https://eprocurement.etisalat.com/irj/portal</w:t>
        </w:r>
      </w:hyperlink>
      <w:r w:rsidRPr="00795B31">
        <w:rPr>
          <w:rFonts w:asciiTheme="minorHAnsi" w:hAnsiTheme="minorHAnsi" w:cstheme="minorHAnsi"/>
          <w:sz w:val="22"/>
          <w:szCs w:val="22"/>
        </w:rPr>
        <w:t>.</w:t>
      </w:r>
    </w:p>
    <w:p w:rsidR="00836D37" w:rsidRPr="00795B31" w:rsidRDefault="00836D37" w:rsidP="00795B31">
      <w:pPr>
        <w:pStyle w:val="ListParagraph"/>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PTCL reserves the right to reject any or all bids and to annul the bidding process at any time, without thereby incurring any liability to the affected bidder (s) or any obligation to inform the affected bidder (s) of the grounds for PTCL</w:t>
      </w:r>
      <w:r w:rsidR="002E31B2">
        <w:rPr>
          <w:rFonts w:asciiTheme="minorHAnsi" w:hAnsiTheme="minorHAnsi" w:cstheme="minorHAnsi"/>
          <w:sz w:val="22"/>
          <w:szCs w:val="22"/>
        </w:rPr>
        <w:t>’s</w:t>
      </w:r>
      <w:r w:rsidRPr="00795B31">
        <w:rPr>
          <w:rFonts w:asciiTheme="minorHAnsi" w:hAnsiTheme="minorHAnsi" w:cstheme="minorHAnsi"/>
          <w:sz w:val="22"/>
          <w:szCs w:val="22"/>
        </w:rPr>
        <w:t xml:space="preserve"> action.</w:t>
      </w:r>
    </w:p>
    <w:p w:rsidR="00836D37" w:rsidRPr="00795B31" w:rsidRDefault="00836D37" w:rsidP="00795B31">
      <w:pPr>
        <w:pStyle w:val="ListParagraph"/>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Bidder must mention their Vendor Registration code on quotation. In case vendor is not registered, then registration must be done before the issuance of Letter of Intent (LOI). Vendor Registration form can be downloaded from PTCL website</w:t>
      </w:r>
      <w:r w:rsidR="002E31B2">
        <w:rPr>
          <w:rFonts w:asciiTheme="minorHAnsi" w:hAnsiTheme="minorHAnsi" w:cstheme="minorHAnsi"/>
          <w:sz w:val="22"/>
          <w:szCs w:val="22"/>
        </w:rPr>
        <w:t>:</w:t>
      </w:r>
      <w:r w:rsidRPr="00795B31">
        <w:rPr>
          <w:rFonts w:asciiTheme="minorHAnsi" w:hAnsiTheme="minorHAnsi" w:cstheme="minorHAnsi"/>
          <w:sz w:val="22"/>
          <w:szCs w:val="22"/>
        </w:rPr>
        <w:t xml:space="preserve"> </w:t>
      </w:r>
      <w:hyperlink r:id="rId7" w:history="1">
        <w:r w:rsidRPr="00795B31">
          <w:rPr>
            <w:rStyle w:val="Hyperlink"/>
            <w:rFonts w:asciiTheme="minorHAnsi" w:hAnsiTheme="minorHAnsi" w:cstheme="minorHAnsi"/>
            <w:sz w:val="22"/>
            <w:szCs w:val="22"/>
          </w:rPr>
          <w:t>www.ptcl.com.pk/media</w:t>
        </w:r>
      </w:hyperlink>
      <w:r w:rsidRPr="00795B31">
        <w:rPr>
          <w:rFonts w:asciiTheme="minorHAnsi" w:hAnsiTheme="minorHAnsi" w:cstheme="minorHAnsi"/>
          <w:sz w:val="22"/>
          <w:szCs w:val="22"/>
        </w:rPr>
        <w:t>.</w:t>
      </w:r>
    </w:p>
    <w:p w:rsidR="00836D37" w:rsidRPr="00795B31" w:rsidRDefault="00836D37" w:rsidP="00795B31">
      <w:pPr>
        <w:pStyle w:val="ListParagraph"/>
        <w:jc w:val="both"/>
        <w:rPr>
          <w:rFonts w:asciiTheme="minorHAnsi" w:hAnsiTheme="minorHAnsi" w:cstheme="minorHAnsi"/>
          <w:sz w:val="22"/>
          <w:szCs w:val="22"/>
        </w:rPr>
      </w:pPr>
    </w:p>
    <w:p w:rsidR="00836D37" w:rsidRPr="00795B31" w:rsidRDefault="00836D37" w:rsidP="00795B31">
      <w:pPr>
        <w:numPr>
          <w:ilvl w:val="0"/>
          <w:numId w:val="1"/>
        </w:numPr>
        <w:overflowPunct w:val="0"/>
        <w:autoSpaceDE w:val="0"/>
        <w:autoSpaceDN w:val="0"/>
        <w:adjustRightInd w:val="0"/>
        <w:ind w:hanging="720"/>
        <w:jc w:val="both"/>
        <w:textAlignment w:val="baseline"/>
        <w:rPr>
          <w:rFonts w:asciiTheme="minorHAnsi" w:hAnsiTheme="minorHAnsi" w:cstheme="minorHAnsi"/>
          <w:sz w:val="22"/>
          <w:szCs w:val="22"/>
        </w:rPr>
      </w:pPr>
      <w:r w:rsidRPr="00795B31">
        <w:rPr>
          <w:rFonts w:asciiTheme="minorHAnsi" w:hAnsiTheme="minorHAnsi" w:cstheme="minorHAnsi"/>
          <w:sz w:val="22"/>
          <w:szCs w:val="22"/>
        </w:rPr>
        <w:t>All correspondence on the subject may be addressed to the undersigned.</w:t>
      </w:r>
    </w:p>
    <w:p w:rsidR="00017CAE" w:rsidRPr="00795B31" w:rsidRDefault="00017CAE" w:rsidP="00795B31">
      <w:pPr>
        <w:pStyle w:val="ListParagraph"/>
        <w:ind w:hanging="720"/>
        <w:jc w:val="both"/>
        <w:rPr>
          <w:rFonts w:asciiTheme="minorHAnsi" w:hAnsiTheme="minorHAnsi" w:cstheme="minorHAnsi"/>
          <w:sz w:val="22"/>
          <w:szCs w:val="22"/>
        </w:rPr>
      </w:pPr>
    </w:p>
    <w:p w:rsidR="00631CC7" w:rsidRPr="00FB357F" w:rsidRDefault="00631CC7" w:rsidP="00017CAE">
      <w:pPr>
        <w:pStyle w:val="ListParagraph"/>
        <w:ind w:hanging="720"/>
        <w:jc w:val="both"/>
        <w:rPr>
          <w:rFonts w:ascii="Calibri" w:hAnsi="Calibri" w:cs="Neo Tech Alt"/>
          <w:sz w:val="22"/>
          <w:szCs w:val="22"/>
        </w:rPr>
      </w:pPr>
    </w:p>
    <w:p w:rsidR="002E31B2" w:rsidRDefault="002E31B2" w:rsidP="00017CAE">
      <w:pPr>
        <w:ind w:left="720" w:hanging="720"/>
        <w:jc w:val="both"/>
        <w:rPr>
          <w:rFonts w:ascii="Calibri" w:hAnsi="Calibri" w:cs="Neo Tech Alt Medium"/>
          <w:b/>
          <w:bCs/>
          <w:sz w:val="22"/>
          <w:szCs w:val="22"/>
        </w:rPr>
      </w:pPr>
    </w:p>
    <w:p w:rsidR="002E31B2" w:rsidRDefault="002E31B2" w:rsidP="002E31B2">
      <w:pPr>
        <w:ind w:left="720" w:hanging="720"/>
        <w:jc w:val="both"/>
        <w:rPr>
          <w:rFonts w:ascii="Calibri" w:hAnsi="Calibri" w:cs="Neo Tech Alt Medium"/>
          <w:b/>
          <w:bCs/>
          <w:sz w:val="22"/>
          <w:szCs w:val="22"/>
        </w:rPr>
      </w:pPr>
    </w:p>
    <w:p w:rsidR="00017CAE" w:rsidRPr="006F4E43" w:rsidRDefault="00017CAE" w:rsidP="002E31B2">
      <w:pPr>
        <w:ind w:left="720" w:hanging="720"/>
        <w:jc w:val="both"/>
        <w:rPr>
          <w:rFonts w:ascii="Calibri" w:hAnsi="Calibri" w:cs="Neo Tech Alt Medium"/>
          <w:b/>
          <w:bCs/>
          <w:sz w:val="22"/>
          <w:szCs w:val="22"/>
        </w:rPr>
      </w:pPr>
      <w:r w:rsidRPr="006F4E43">
        <w:rPr>
          <w:rFonts w:ascii="Calibri" w:hAnsi="Calibri" w:cs="Neo Tech Alt Medium"/>
          <w:b/>
          <w:bCs/>
          <w:sz w:val="22"/>
          <w:szCs w:val="22"/>
        </w:rPr>
        <w:t xml:space="preserve">Syed Muhammad Amir </w:t>
      </w:r>
      <w:proofErr w:type="spellStart"/>
      <w:r w:rsidRPr="006F4E43">
        <w:rPr>
          <w:rFonts w:ascii="Calibri" w:hAnsi="Calibri" w:cs="Neo Tech Alt Medium"/>
          <w:b/>
          <w:bCs/>
          <w:sz w:val="22"/>
          <w:szCs w:val="22"/>
        </w:rPr>
        <w:t>Tirmizi</w:t>
      </w:r>
      <w:proofErr w:type="spellEnd"/>
      <w:r w:rsidR="002E31B2">
        <w:rPr>
          <w:rFonts w:ascii="Calibri" w:hAnsi="Calibri" w:cs="Neo Tech Alt Medium"/>
          <w:b/>
          <w:bCs/>
          <w:sz w:val="22"/>
          <w:szCs w:val="22"/>
        </w:rPr>
        <w:t xml:space="preserve"> - </w:t>
      </w:r>
      <w:r w:rsidRPr="006F4E43">
        <w:rPr>
          <w:rFonts w:ascii="Calibri" w:hAnsi="Calibri" w:cs="Neo Tech Alt Medium"/>
          <w:b/>
          <w:bCs/>
          <w:sz w:val="22"/>
          <w:szCs w:val="22"/>
        </w:rPr>
        <w:t>SM (CONTRACTS-IT</w:t>
      </w:r>
      <w:r w:rsidR="002E31B2">
        <w:rPr>
          <w:rFonts w:ascii="Calibri" w:hAnsi="Calibri" w:cs="Neo Tech Alt Medium"/>
          <w:b/>
          <w:bCs/>
          <w:sz w:val="22"/>
          <w:szCs w:val="22"/>
        </w:rPr>
        <w:t>)</w:t>
      </w:r>
    </w:p>
    <w:p w:rsidR="00017CAE" w:rsidRPr="00795B31" w:rsidRDefault="00017CAE" w:rsidP="002E31B2">
      <w:pPr>
        <w:ind w:left="720" w:hanging="720"/>
        <w:jc w:val="both"/>
        <w:rPr>
          <w:rFonts w:ascii="Calibri" w:hAnsi="Calibri" w:cs="Neo Tech Alt Medium"/>
          <w:bCs/>
          <w:sz w:val="22"/>
          <w:szCs w:val="22"/>
        </w:rPr>
      </w:pPr>
      <w:r w:rsidRPr="00795B31">
        <w:rPr>
          <w:rFonts w:ascii="Calibri" w:hAnsi="Calibri" w:cs="Neo Tech Alt Medium"/>
          <w:bCs/>
          <w:sz w:val="22"/>
          <w:szCs w:val="22"/>
        </w:rPr>
        <w:t>PTCL HEADQUARTERS, G-8/4, ISLAMABAD</w:t>
      </w:r>
    </w:p>
    <w:p w:rsidR="00017CAE" w:rsidRPr="00795B31" w:rsidRDefault="002E31B2" w:rsidP="00017CAE">
      <w:pPr>
        <w:ind w:left="720" w:hanging="720"/>
        <w:jc w:val="both"/>
        <w:rPr>
          <w:rFonts w:ascii="Calibri" w:hAnsi="Calibri" w:cs="Neo Tech Alt Medium"/>
          <w:bCs/>
          <w:sz w:val="22"/>
          <w:szCs w:val="22"/>
        </w:rPr>
      </w:pPr>
      <w:r>
        <w:rPr>
          <w:rFonts w:ascii="Calibri" w:hAnsi="Calibri" w:cs="Neo Tech Alt Medium"/>
          <w:bCs/>
          <w:sz w:val="22"/>
          <w:szCs w:val="22"/>
        </w:rPr>
        <w:t>Phone</w:t>
      </w:r>
      <w:r w:rsidR="00017CAE" w:rsidRPr="00795B31">
        <w:rPr>
          <w:rFonts w:ascii="Calibri" w:hAnsi="Calibri" w:cs="Neo Tech Alt Medium"/>
          <w:bCs/>
          <w:sz w:val="22"/>
          <w:szCs w:val="22"/>
        </w:rPr>
        <w:t>: +92-51-228 9153 Fax: +92-51-225 3014</w:t>
      </w:r>
    </w:p>
    <w:p w:rsidR="00BE25E7" w:rsidRPr="00795B31" w:rsidRDefault="00795B31" w:rsidP="00017CAE">
      <w:r>
        <w:rPr>
          <w:rFonts w:ascii="Calibri" w:hAnsi="Calibri" w:cs="Neo Tech Alt Medium"/>
          <w:bCs/>
          <w:sz w:val="22"/>
          <w:szCs w:val="22"/>
        </w:rPr>
        <w:t>e-</w:t>
      </w:r>
      <w:r w:rsidR="00017CAE" w:rsidRPr="00795B31">
        <w:rPr>
          <w:rFonts w:ascii="Calibri" w:hAnsi="Calibri" w:cs="Neo Tech Alt Medium"/>
          <w:bCs/>
          <w:sz w:val="22"/>
          <w:szCs w:val="22"/>
        </w:rPr>
        <w:t xml:space="preserve">mail: </w:t>
      </w:r>
      <w:hyperlink r:id="rId8" w:history="1">
        <w:r w:rsidR="00017CAE" w:rsidRPr="00795B31">
          <w:rPr>
            <w:rStyle w:val="Hyperlink"/>
            <w:rFonts w:ascii="Calibri" w:hAnsi="Calibri" w:cs="Neo Tech Alt Medium"/>
            <w:bCs/>
            <w:sz w:val="22"/>
            <w:szCs w:val="22"/>
          </w:rPr>
          <w:t>Amir.tirmizi@ptcl.net.pk</w:t>
        </w:r>
      </w:hyperlink>
    </w:p>
    <w:sectPr w:rsidR="00BE25E7" w:rsidRPr="00795B31" w:rsidSect="007E3F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Neo Tech Alt">
    <w:altName w:val="Agency FB"/>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E"/>
    <w:rsid w:val="00017CAE"/>
    <w:rsid w:val="0003263D"/>
    <w:rsid w:val="000B419A"/>
    <w:rsid w:val="00111344"/>
    <w:rsid w:val="00157C0B"/>
    <w:rsid w:val="00180AC0"/>
    <w:rsid w:val="00280443"/>
    <w:rsid w:val="002E31B2"/>
    <w:rsid w:val="00337256"/>
    <w:rsid w:val="00347CCA"/>
    <w:rsid w:val="00631CC7"/>
    <w:rsid w:val="006C549B"/>
    <w:rsid w:val="007551BB"/>
    <w:rsid w:val="00795B31"/>
    <w:rsid w:val="007E3F68"/>
    <w:rsid w:val="00810F31"/>
    <w:rsid w:val="00814891"/>
    <w:rsid w:val="00836D37"/>
    <w:rsid w:val="008676A5"/>
    <w:rsid w:val="00A532DD"/>
    <w:rsid w:val="00BE25E7"/>
    <w:rsid w:val="00C1344B"/>
    <w:rsid w:val="00D93007"/>
    <w:rsid w:val="00E00AB3"/>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1952"/>
  <w15:docId w15:val="{080E0D8F-881B-423A-A11A-1919302A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7CAE"/>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CAE"/>
    <w:rPr>
      <w:rFonts w:ascii="Times New Roman" w:eastAsia="Times New Roman" w:hAnsi="Times New Roman" w:cs="Times New Roman"/>
      <w:b/>
      <w:sz w:val="28"/>
      <w:szCs w:val="20"/>
      <w:u w:val="single"/>
    </w:rPr>
  </w:style>
  <w:style w:type="paragraph" w:styleId="Title">
    <w:name w:val="Title"/>
    <w:basedOn w:val="Normal"/>
    <w:link w:val="TitleChar"/>
    <w:qFormat/>
    <w:rsid w:val="00017CAE"/>
    <w:pPr>
      <w:jc w:val="center"/>
    </w:pPr>
    <w:rPr>
      <w:b/>
      <w:sz w:val="28"/>
      <w:u w:val="single"/>
    </w:rPr>
  </w:style>
  <w:style w:type="character" w:customStyle="1" w:styleId="TitleChar">
    <w:name w:val="Title Char"/>
    <w:basedOn w:val="DefaultParagraphFont"/>
    <w:link w:val="Title"/>
    <w:rsid w:val="00017CAE"/>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017CAE"/>
    <w:pPr>
      <w:ind w:left="720"/>
    </w:pPr>
  </w:style>
  <w:style w:type="character" w:styleId="Hyperlink">
    <w:name w:val="Hyperlink"/>
    <w:uiPriority w:val="99"/>
    <w:rsid w:val="0001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Sehrish Khalid/Management Trainee/PTCL</cp:lastModifiedBy>
  <cp:revision>2</cp:revision>
  <dcterms:created xsi:type="dcterms:W3CDTF">2017-08-22T04:32:00Z</dcterms:created>
  <dcterms:modified xsi:type="dcterms:W3CDTF">2017-08-22T04:32:00Z</dcterms:modified>
</cp:coreProperties>
</file>