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720" w:hanging="720"/>
        <w:jc w:val="center"/>
        <w:rPr>
          <w:rFonts w:ascii="Calibri" w:hAnsi="Calibri" w:cs="Calibri" w:eastAsia="Calibri"/>
          <w:b/>
          <w:color w:val="auto"/>
          <w:spacing w:val="0"/>
          <w:position w:val="0"/>
          <w:sz w:val="28"/>
          <w:shd w:fill="auto" w:val="clear"/>
        </w:rPr>
      </w:pPr>
    </w:p>
    <w:p>
      <w:pPr>
        <w:spacing w:before="0" w:after="0" w:line="240"/>
        <w:ind w:right="0" w:left="720" w:hanging="72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TENDER NOTICE</w:t>
      </w:r>
    </w:p>
    <w:p>
      <w:pPr>
        <w:spacing w:before="0" w:after="0" w:line="240"/>
        <w:ind w:right="0" w:left="720" w:hanging="720"/>
        <w:jc w:val="center"/>
        <w:rPr>
          <w:rFonts w:ascii="Calibri" w:hAnsi="Calibri" w:cs="Calibri" w:eastAsia="Calibri"/>
          <w:b/>
          <w:color w:val="auto"/>
          <w:spacing w:val="0"/>
          <w:position w:val="0"/>
          <w:sz w:val="20"/>
          <w:shd w:fill="auto" w:val="clear"/>
        </w:rPr>
      </w:pPr>
    </w:p>
    <w:p>
      <w:pPr>
        <w:spacing w:before="0" w:after="0" w:line="240"/>
        <w:ind w:right="0" w:left="720" w:hanging="72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TENDER NO. NTR-I/Tech-Pesh/Inverter AC’s FOR NOD NTR /2019-20/04/</w:t>
      </w:r>
    </w:p>
    <w:p>
      <w:pPr>
        <w:tabs>
          <w:tab w:val="left" w:pos="5181" w:leader="none"/>
        </w:tabs>
        <w:spacing w:before="0" w:after="0" w:line="240"/>
        <w:ind w:right="0" w:left="720" w:hanging="72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0"/>
          <w:shd w:fill="auto" w:val="clear"/>
        </w:rPr>
        <w:tab/>
      </w:r>
    </w:p>
    <w:p>
      <w:pPr>
        <w:spacing w:before="0" w:after="0" w:line="240"/>
        <w:ind w:right="0" w:left="720" w:hanging="72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32"/>
          <w:u w:val="single"/>
          <w:shd w:fill="auto" w:val="clear"/>
        </w:rPr>
        <w:t xml:space="preserve">Frame Contract for Supply &amp; Installation of Inverter AC units in NTR </w:t>
      </w:r>
    </w:p>
    <w:p>
      <w:pPr>
        <w:spacing w:before="0" w:after="0" w:line="240"/>
        <w:ind w:right="0" w:left="720" w:hanging="72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Sealed bids are invited for</w:t>
      </w:r>
      <w:r>
        <w:rPr>
          <w:rFonts w:ascii="Calibri" w:hAnsi="Calibri" w:cs="Calibri" w:eastAsia="Calibri"/>
          <w:color w:val="auto"/>
          <w:spacing w:val="0"/>
          <w:position w:val="0"/>
          <w:sz w:val="26"/>
          <w:shd w:fill="auto" w:val="clear"/>
        </w:rPr>
        <w:t xml:space="preserve"> </w:t>
      </w:r>
      <w:r>
        <w:rPr>
          <w:rFonts w:ascii="Calibri" w:hAnsi="Calibri" w:cs="Calibri" w:eastAsia="Calibri"/>
          <w:b/>
          <w:color w:val="auto"/>
          <w:spacing w:val="0"/>
          <w:position w:val="0"/>
          <w:sz w:val="22"/>
          <w:shd w:fill="auto" w:val="clear"/>
        </w:rPr>
        <w:t xml:space="preserve">Frame Contract for Supply &amp; Installation of Inverter AC units in NTR</w:t>
      </w:r>
      <w:r>
        <w:rPr>
          <w:rFonts w:ascii="Calibri" w:hAnsi="Calibri" w:cs="Calibri" w:eastAsia="Calibri"/>
          <w:color w:val="auto"/>
          <w:spacing w:val="0"/>
          <w:position w:val="0"/>
          <w:sz w:val="14"/>
          <w:shd w:fill="auto" w:val="clear"/>
        </w:rPr>
        <w:t xml:space="preserve"> </w:t>
      </w:r>
      <w:r>
        <w:rPr>
          <w:rFonts w:ascii="Calibri" w:hAnsi="Calibri" w:cs="Calibri" w:eastAsia="Calibri"/>
          <w:color w:val="auto"/>
          <w:spacing w:val="0"/>
          <w:position w:val="0"/>
          <w:sz w:val="22"/>
          <w:shd w:fill="auto" w:val="clear"/>
        </w:rPr>
        <w:t xml:space="preserve">in accordance with Technical Specifications. PTCL preferred/priority Incoterm for submission of the entire offer is DDP PKR.</w:t>
      </w:r>
    </w:p>
    <w:p>
      <w:pPr>
        <w:spacing w:before="0" w:after="0" w:line="240"/>
        <w:ind w:right="0" w:left="720" w:hanging="720"/>
        <w:jc w:val="both"/>
        <w:rPr>
          <w:rFonts w:ascii="Calibri" w:hAnsi="Calibri" w:cs="Calibri" w:eastAsia="Calibri"/>
          <w:color w:val="auto"/>
          <w:spacing w:val="0"/>
          <w:position w:val="0"/>
          <w:sz w:val="22"/>
          <w:shd w:fill="auto" w:val="clear"/>
        </w:rPr>
      </w:pPr>
    </w:p>
    <w:p>
      <w:pPr>
        <w:numPr>
          <w:ilvl w:val="0"/>
          <w:numId w:val="7"/>
        </w:numPr>
        <w:tabs>
          <w:tab w:val="left" w:pos="720"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Bids shall be submitted in Room #:012, Telephone Office, 1 The Mall Peshawar Cantt as per instructions provided in tender documents on or before 12:00 Hr. Dated: </w:t>
      </w:r>
      <w:r>
        <w:rPr>
          <w:rFonts w:ascii="Calibri" w:hAnsi="Calibri" w:cs="Calibri" w:eastAsia="Calibri"/>
          <w:b/>
          <w:color w:val="auto"/>
          <w:spacing w:val="0"/>
          <w:position w:val="0"/>
          <w:sz w:val="22"/>
          <w:shd w:fill="auto" w:val="clear"/>
        </w:rPr>
        <w:t xml:space="preserve">05-08-2019</w:t>
      </w:r>
      <w:r>
        <w:rPr>
          <w:rFonts w:ascii="Calibri" w:hAnsi="Calibri" w:cs="Calibri" w:eastAsia="Calibri"/>
          <w:color w:val="auto"/>
          <w:spacing w:val="0"/>
          <w:position w:val="0"/>
          <w:sz w:val="22"/>
          <w:shd w:fill="auto" w:val="clear"/>
        </w:rPr>
        <w:t xml:space="preserve">. </w:t>
      </w:r>
    </w:p>
    <w:p>
      <w:pPr>
        <w:spacing w:before="0" w:after="0" w:line="240"/>
        <w:ind w:right="0" w:left="720" w:hanging="720"/>
        <w:jc w:val="both"/>
        <w:rPr>
          <w:rFonts w:ascii="Calibri" w:hAnsi="Calibri" w:cs="Calibri" w:eastAsia="Calibri"/>
          <w:color w:val="auto"/>
          <w:spacing w:val="0"/>
          <w:position w:val="0"/>
          <w:sz w:val="22"/>
          <w:shd w:fill="auto" w:val="clear"/>
        </w:rPr>
      </w:pPr>
    </w:p>
    <w:p>
      <w:pPr>
        <w:numPr>
          <w:ilvl w:val="0"/>
          <w:numId w:val="9"/>
        </w:numPr>
        <w:tabs>
          <w:tab w:val="left" w:pos="720"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Tender documents can be purchased from the undersigned on payment of Rs. 1000/.- (non-refundable) through Demand Draft/pay order in favor of Senior Manager (Finance) NTR-1, Peshawar.</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1"/>
        </w:numPr>
        <w:tabs>
          <w:tab w:val="left" w:pos="720"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Bids received after the above deadline shall not be accepted and be returned unopened. Bids through E-mail / Fax / Courier shall not be accepted.</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3"/>
        </w:numPr>
        <w:tabs>
          <w:tab w:val="left" w:pos="720"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Commercial bids must be accompanied by a bid security of Rs.100,000/-. </w:t>
      </w:r>
      <w:r>
        <w:rPr>
          <w:rFonts w:ascii="Calibri" w:hAnsi="Calibri" w:cs="Calibri" w:eastAsia="Calibri"/>
          <w:b/>
          <w:color w:val="auto"/>
          <w:spacing w:val="0"/>
          <w:position w:val="0"/>
          <w:sz w:val="22"/>
          <w:u w:val="single"/>
          <w:shd w:fill="auto" w:val="clear"/>
        </w:rPr>
        <w:t xml:space="preserve">In case of non-compliance, the bids will be disqualified from further processing.</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5"/>
        </w:numPr>
        <w:tabs>
          <w:tab w:val="left" w:pos="720"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PTCL reserves the right to reject any or all bids and to annul the bidding process at any time, without thereby incurring any liability to the affected bidder (s) or any obligation to inform the affected bidder (s) of the grounds for PTCL action.</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7"/>
        </w:numPr>
        <w:tabs>
          <w:tab w:val="left" w:pos="720"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Bidder must mention their Vendor Registration code on quotation. In case vendor is not registered, then registration must be done before the issuance of Letter of Intent (LOI). Vendor Registration form can be downloaded from PTCL website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www.ptcl.com.pk/media</w:t>
        </w:r>
      </w:hyperlink>
      <w:r>
        <w:rPr>
          <w:rFonts w:ascii="Calibri" w:hAnsi="Calibri" w:cs="Calibri" w:eastAsia="Calibri"/>
          <w:color w:val="auto"/>
          <w:spacing w:val="0"/>
          <w:position w:val="0"/>
          <w:sz w:val="22"/>
          <w:shd w:fill="auto" w:val="clear"/>
        </w:rPr>
        <w:t xml:space="preserve">.</w:t>
      </w:r>
    </w:p>
    <w:p>
      <w:pPr>
        <w:spacing w:before="0" w:after="0" w:line="240"/>
        <w:ind w:right="0" w:left="720" w:firstLine="0"/>
        <w:jc w:val="left"/>
        <w:rPr>
          <w:rFonts w:ascii="Calibri" w:hAnsi="Calibri" w:cs="Calibri" w:eastAsia="Calibri"/>
          <w:color w:val="auto"/>
          <w:spacing w:val="0"/>
          <w:position w:val="0"/>
          <w:sz w:val="24"/>
          <w:shd w:fill="auto" w:val="clear"/>
        </w:rPr>
      </w:pPr>
    </w:p>
    <w:p>
      <w:pPr>
        <w:numPr>
          <w:ilvl w:val="0"/>
          <w:numId w:val="19"/>
        </w:numPr>
        <w:tabs>
          <w:tab w:val="left" w:pos="720" w:leader="none"/>
        </w:tabs>
        <w:spacing w:before="0" w:after="0" w:line="240"/>
        <w:ind w:right="0" w:left="720" w:hanging="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correspondence on the subject may be addressed to the undersigned.</w:t>
      </w:r>
    </w:p>
    <w:p>
      <w:pPr>
        <w:spacing w:before="0" w:after="0" w:line="240"/>
        <w:ind w:right="0" w:left="720" w:hanging="720"/>
        <w:jc w:val="both"/>
        <w:rPr>
          <w:rFonts w:ascii="Calibri" w:hAnsi="Calibri" w:cs="Calibri" w:eastAsia="Calibri"/>
          <w:color w:val="auto"/>
          <w:spacing w:val="0"/>
          <w:position w:val="0"/>
          <w:sz w:val="24"/>
          <w:shd w:fill="auto" w:val="clear"/>
        </w:rPr>
      </w:pPr>
    </w:p>
    <w:p>
      <w:pPr>
        <w:spacing w:before="0" w:after="0" w:line="240"/>
        <w:ind w:right="0" w:left="720" w:hanging="720"/>
        <w:jc w:val="both"/>
        <w:rPr>
          <w:rFonts w:ascii="Calibri" w:hAnsi="Calibri" w:cs="Calibri" w:eastAsia="Calibri"/>
          <w:color w:val="auto"/>
          <w:spacing w:val="0"/>
          <w:position w:val="0"/>
          <w:sz w:val="22"/>
          <w:shd w:fill="auto" w:val="clear"/>
        </w:rPr>
      </w:pPr>
    </w:p>
    <w:p>
      <w:pPr>
        <w:spacing w:before="0" w:after="0" w:line="240"/>
        <w:ind w:right="0" w:left="720" w:hanging="7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Ibrar Hussain</w:t>
      </w:r>
    </w:p>
    <w:p>
      <w:pPr>
        <w:spacing w:before="0" w:after="0" w:line="240"/>
        <w:ind w:right="0" w:left="720" w:hanging="7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SM (Regional Procurement)</w:t>
      </w:r>
    </w:p>
    <w:p>
      <w:pPr>
        <w:spacing w:before="0" w:after="0" w:line="240"/>
        <w:ind w:right="0" w:left="720" w:hanging="7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Telephone House</w:t>
      </w:r>
    </w:p>
    <w:p>
      <w:pPr>
        <w:spacing w:before="0" w:after="0" w:line="240"/>
        <w:ind w:right="0" w:left="720" w:hanging="7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The Mall, Peshawar Cantt</w:t>
      </w:r>
    </w:p>
    <w:p>
      <w:pPr>
        <w:spacing w:before="0" w:after="0" w:line="240"/>
        <w:ind w:right="0" w:left="720" w:hanging="7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Tel: +92-91-5276013 </w:t>
      </w:r>
    </w:p>
    <w:p>
      <w:pPr>
        <w:spacing w:before="0" w:after="0" w:line="240"/>
        <w:ind w:right="0" w:left="720" w:hanging="72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w:t>
      </w: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Ibrar.Hussain1@ptcl.net.pk</w:t>
        </w:r>
      </w:hyperlink>
      <w:r>
        <w:rPr>
          <w:rFonts w:ascii="Calibri" w:hAnsi="Calibri" w:cs="Calibri" w:eastAsia="Calibri"/>
          <w:b/>
          <w:color w:val="auto"/>
          <w:spacing w:val="0"/>
          <w:position w:val="0"/>
          <w:sz w:val="22"/>
          <w:shd w:fill="auto" w:val="clear"/>
        </w:rPr>
        <w:tab/>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No. RFQ/ Tech Pesh/</w:t>
      </w:r>
      <w:r>
        <w:rPr>
          <w:rFonts w:ascii="Arial" w:hAnsi="Arial" w:cs="Arial" w:eastAsia="Arial"/>
          <w:b/>
          <w:color w:val="auto"/>
          <w:spacing w:val="0"/>
          <w:position w:val="0"/>
          <w:sz w:val="24"/>
          <w:u w:val="single"/>
          <w:shd w:fill="auto" w:val="clear"/>
        </w:rPr>
        <w:t xml:space="preserve"> </w:t>
      </w:r>
      <w:r>
        <w:rPr>
          <w:rFonts w:ascii="Calibri" w:hAnsi="Calibri" w:cs="Calibri" w:eastAsia="Calibri"/>
          <w:b/>
          <w:color w:val="auto"/>
          <w:spacing w:val="0"/>
          <w:position w:val="0"/>
          <w:sz w:val="24"/>
          <w:u w:val="single"/>
          <w:shd w:fill="auto" w:val="clear"/>
        </w:rPr>
        <w:t xml:space="preserve">Frame Contract for</w:t>
      </w:r>
      <w:r>
        <w:rPr>
          <w:rFonts w:ascii="Arial" w:hAnsi="Arial" w:cs="Arial" w:eastAsia="Arial"/>
          <w:b/>
          <w:color w:val="auto"/>
          <w:spacing w:val="0"/>
          <w:position w:val="0"/>
          <w:sz w:val="20"/>
          <w:u w:val="single"/>
          <w:shd w:fill="auto" w:val="clear"/>
        </w:rPr>
        <w:t xml:space="preserve"> </w:t>
      </w:r>
      <w:r>
        <w:rPr>
          <w:rFonts w:ascii="Calibri" w:hAnsi="Calibri" w:cs="Calibri" w:eastAsia="Calibri"/>
          <w:b/>
          <w:color w:val="auto"/>
          <w:spacing w:val="0"/>
          <w:position w:val="0"/>
          <w:sz w:val="24"/>
          <w:u w:val="single"/>
          <w:shd w:fill="auto" w:val="clear"/>
        </w:rPr>
        <w:t xml:space="preserve">Supply &amp; Installation of Inverter AC units in NTR / 2019-20/04</w:t>
      </w:r>
    </w:p>
    <w:p>
      <w:pPr>
        <w:spacing w:before="0" w:after="0" w:line="240"/>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Pakistan Telecommunication Company Limited</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REGIONAL PROCUREMENT COMMITTEE</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REQUEST FOR QUOTATION</w:t>
      </w: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(RFQ)</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TITLE. Frame Contract for Supply &amp; Installation of Inverter AC units in NTR</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No. RFQ/ Tech Pesh/</w:t>
      </w:r>
      <w:r>
        <w:rPr>
          <w:rFonts w:ascii="Arial" w:hAnsi="Arial" w:cs="Arial" w:eastAsia="Arial"/>
          <w:b/>
          <w:color w:val="auto"/>
          <w:spacing w:val="0"/>
          <w:position w:val="0"/>
          <w:sz w:val="24"/>
          <w:u w:val="single"/>
          <w:shd w:fill="auto" w:val="clear"/>
        </w:rPr>
        <w:t xml:space="preserve"> </w:t>
      </w:r>
      <w:r>
        <w:rPr>
          <w:rFonts w:ascii="Calibri" w:hAnsi="Calibri" w:cs="Calibri" w:eastAsia="Calibri"/>
          <w:b/>
          <w:color w:val="auto"/>
          <w:spacing w:val="0"/>
          <w:position w:val="0"/>
          <w:sz w:val="24"/>
          <w:u w:val="single"/>
          <w:shd w:fill="auto" w:val="clear"/>
        </w:rPr>
        <w:t xml:space="preserve">Frame Contract for Supply &amp; Installation of Inverter AC units in NTR / 2019-20/04</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Table of contents.</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Scope of the work……………………………………………….</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General Term and conditions……………………………….</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Bid Bond requirement…………………………………………</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Performance security………………………………………….</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Warranty requirement…………………………………………</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 lines/ deadlines………………………………………….</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Technical Evaluation criteria……………………………….</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Commercial Evaluation criteria…………………………….</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Technical Bid…………………………………………………………</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Compliance statement…………………………………………</w:t>
      </w:r>
    </w:p>
    <w:p>
      <w:pPr>
        <w:numPr>
          <w:ilvl w:val="0"/>
          <w:numId w:val="2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BOQ…………………………………………………………………….</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30"/>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Scope of work.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contractor/vendor should execute the entire work as per specification given below &amp; in BOQ attached and shall hand over the work completed in all respect according to the functional and technical specifications as specified by the PTCL vide no. T&amp;S/TR-109, T&amp;S/TR-192A-06/2014/4, dated:12-06-2014.</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Supply documents as per tender documents.</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Supply of materials purchased from local markets.</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contactor is responsible for transportation/ installation of all items according to the BOQ as per approved rate of PNC.</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Comply with all the PTCL technical requirements as communicated with them.</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contractor is responsible to handover the equipment according to the BOQ with the specified time as required by the concerned execution officer.</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bidder is responsible to conduct the PAT/ inspection along with the nominated team as per technical specifications.</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query or problem occurred in the execution of work should be communicated in writing to the concerned execution officer in time.</w:t>
      </w:r>
    </w:p>
    <w:p>
      <w:pPr>
        <w:numPr>
          <w:ilvl w:val="0"/>
          <w:numId w:val="3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vendor should sign or comply with the terms and conditions attached in the tender documents.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 compliance of the scope of work should also be submitted by the vendor with technical bid.</w:t>
      </w:r>
    </w:p>
    <w:p>
      <w:pPr>
        <w:spacing w:before="0" w:after="200" w:line="276"/>
        <w:ind w:right="0" w:left="0" w:firstLine="0"/>
        <w:jc w:val="left"/>
        <w:rPr>
          <w:rFonts w:ascii="Calibri" w:hAnsi="Calibri" w:cs="Calibri" w:eastAsia="Calibri"/>
          <w:b/>
          <w:color w:val="auto"/>
          <w:spacing w:val="0"/>
          <w:position w:val="0"/>
          <w:sz w:val="24"/>
          <w:shd w:fill="auto" w:val="clear"/>
        </w:rPr>
      </w:pPr>
    </w:p>
    <w:p>
      <w:pPr>
        <w:numPr>
          <w:ilvl w:val="0"/>
          <w:numId w:val="34"/>
        </w:numPr>
        <w:spacing w:before="0" w:after="200" w:line="276"/>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General terms and conditions.</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36"/>
        </w:numPr>
        <w:spacing w:before="0" w:after="200" w:line="276"/>
        <w:ind w:right="0" w:left="108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Delivery:</w:t>
      </w:r>
      <w:r>
        <w:rPr>
          <w:rFonts w:ascii="Calibri" w:hAnsi="Calibri" w:cs="Calibri" w:eastAsia="Calibri"/>
          <w:color w:val="auto"/>
          <w:spacing w:val="0"/>
          <w:position w:val="0"/>
          <w:sz w:val="22"/>
          <w:shd w:fill="auto" w:val="clear"/>
        </w:rPr>
        <w:t xml:space="preserve">  The time of the start of work shall start the date of acceptance of the order or 48 hours after issuance of order whichever comes first. </w:t>
      </w:r>
      <w:r>
        <w:rPr>
          <w:rFonts w:ascii="Calibri" w:hAnsi="Calibri" w:cs="Calibri" w:eastAsia="Calibri"/>
          <w:b/>
          <w:color w:val="auto"/>
          <w:spacing w:val="0"/>
          <w:position w:val="0"/>
          <w:sz w:val="22"/>
          <w:shd w:fill="auto" w:val="clear"/>
        </w:rPr>
        <w:t xml:space="preserve">The delivery point is Telephone House Peshawar.</w:t>
      </w:r>
    </w:p>
    <w:p>
      <w:pPr>
        <w:numPr>
          <w:ilvl w:val="0"/>
          <w:numId w:val="3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Progressing:</w:t>
      </w:r>
      <w:r>
        <w:rPr>
          <w:rFonts w:ascii="Calibri" w:hAnsi="Calibri" w:cs="Calibri" w:eastAsia="Calibri"/>
          <w:color w:val="auto"/>
          <w:spacing w:val="0"/>
          <w:position w:val="0"/>
          <w:sz w:val="22"/>
          <w:shd w:fill="auto" w:val="clear"/>
        </w:rPr>
        <w:t xml:space="preserve"> PTCL will make regular queries on the progress of the order; such queries must be answered promptly and accurately.</w:t>
      </w:r>
    </w:p>
    <w:p>
      <w:pPr>
        <w:numPr>
          <w:ilvl w:val="0"/>
          <w:numId w:val="3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Termination:</w:t>
      </w:r>
      <w:r>
        <w:rPr>
          <w:rFonts w:ascii="Calibri" w:hAnsi="Calibri" w:cs="Calibri" w:eastAsia="Calibri"/>
          <w:color w:val="auto"/>
          <w:spacing w:val="0"/>
          <w:position w:val="0"/>
          <w:sz w:val="22"/>
          <w:shd w:fill="auto" w:val="clear"/>
        </w:rPr>
        <w:t xml:space="preserve"> </w:t>
      </w:r>
    </w:p>
    <w:p>
      <w:pPr>
        <w:numPr>
          <w:ilvl w:val="0"/>
          <w:numId w:val="3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supplier fails to comply with any of the above conditions the order may be terminated by the PTCL by immediate notice and at the supplies expense. Such termination shall be prejudice any legal action subsequently taken by PTCL against the supplier for breach of contact/orders</w:t>
      </w:r>
    </w:p>
    <w:p>
      <w:pPr>
        <w:numPr>
          <w:ilvl w:val="0"/>
          <w:numId w:val="3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PTCL may terminate this order in whole or in part at any time for its convenience as per terms and condition of the order. PTCL may reimburse the vendor for any expense incurred for the partially completed ready goods referred to above at actual which to be substantiated by the vendor.</w:t>
      </w:r>
    </w:p>
    <w:p>
      <w:pPr>
        <w:numPr>
          <w:ilvl w:val="0"/>
          <w:numId w:val="3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Force Majeure</w:t>
      </w:r>
      <w:r>
        <w:rPr>
          <w:rFonts w:ascii="Calibri" w:hAnsi="Calibri" w:cs="Calibri" w:eastAsia="Calibri"/>
          <w:color w:val="auto"/>
          <w:spacing w:val="0"/>
          <w:position w:val="0"/>
          <w:sz w:val="22"/>
          <w:shd w:fill="auto" w:val="clear"/>
        </w:rPr>
        <w:t xml:space="preserve">: the supplier shall not liable for forfeiture of its performance bond or any penalty or termination for default, if and to the extent that, its delay in the performance is the result of an event of force majeure. </w:t>
      </w:r>
    </w:p>
    <w:p>
      <w:pPr>
        <w:numPr>
          <w:ilvl w:val="0"/>
          <w:numId w:val="36"/>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Payment:</w:t>
      </w:r>
      <w:r>
        <w:rPr>
          <w:rFonts w:ascii="Calibri" w:hAnsi="Calibri" w:cs="Calibri" w:eastAsia="Calibri"/>
          <w:color w:val="auto"/>
          <w:spacing w:val="0"/>
          <w:position w:val="0"/>
          <w:sz w:val="22"/>
          <w:shd w:fill="auto" w:val="clear"/>
        </w:rPr>
        <w:t xml:space="preserve"> All the payments are subject the deduction of LD charges (if any) and withholding tax as per prevailing rules. Schedules of payment is as under: </w:t>
      </w:r>
    </w:p>
    <w:p>
      <w:pPr>
        <w:spacing w:before="0" w:after="200" w:line="276"/>
        <w:ind w:right="0" w:left="144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Services:</w:t>
      </w:r>
    </w:p>
    <w:p>
      <w:pPr>
        <w:numPr>
          <w:ilvl w:val="0"/>
          <w:numId w:val="38"/>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 of amount of services shall be paid on the fulfillment of the following conditions.</w:t>
      </w:r>
    </w:p>
    <w:p>
      <w:pPr>
        <w:numPr>
          <w:ilvl w:val="0"/>
          <w:numId w:val="38"/>
        </w:numPr>
        <w:spacing w:before="0" w:after="200" w:line="276"/>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the work done stands completed as per BOQ.</w:t>
      </w:r>
    </w:p>
    <w:p>
      <w:pPr>
        <w:numPr>
          <w:ilvl w:val="0"/>
          <w:numId w:val="38"/>
        </w:numPr>
        <w:spacing w:before="0" w:after="200" w:line="276"/>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After PAT is conducted by the PAT team &amp; BOQ has been vetted.</w:t>
      </w:r>
    </w:p>
    <w:p>
      <w:pPr>
        <w:numPr>
          <w:ilvl w:val="0"/>
          <w:numId w:val="38"/>
        </w:numPr>
        <w:spacing w:before="0" w:after="200" w:line="276"/>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is no service affecting discrepancies observed during the PAT.</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Delivery Schedule/Period</w:t>
      </w:r>
      <w:r>
        <w:rPr>
          <w:rFonts w:ascii="Calibri" w:hAnsi="Calibri" w:cs="Calibri" w:eastAsia="Calibri"/>
          <w:color w:val="auto"/>
          <w:spacing w:val="0"/>
          <w:position w:val="0"/>
          <w:sz w:val="22"/>
          <w:shd w:fill="auto" w:val="clear"/>
        </w:rPr>
        <w:t xml:space="preserve">: work should be competed with specified period from the date of issuance of PO.</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PTCL reserves the right either to accept or reject all or any of the tenders without assigning any reasons and will not be bound to accept the lowest tenders.</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attempt (Direct or indirect) on the part of the bidder to accept their tender or any endeavor to secure any interest or to influence by any means will render the contractor liable to expulsion from consideration.</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material supplied by the contractor found of inferior quality, the contractor shall have to remove that and replace with the requisite specifications at his own cost failing which an amount as the Manager may decide will be recovered from the bill.</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contractor shall not claim any compensation for the damages if he does work in coordination with the Engineer in charge.</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case of any dispute between the contractor and the Engineer/AM in charge, a committee will be framed inclusive of operation &amp; quality official whose decision will be final.</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sub-letting of the work will be allowed. If any contractor is found indulged in this malpractice, action will be taken against him. The tender process will be attended by the Firm/ Contractor personally or its authorized representative.</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contractor commits breach of the any of the terms and conditions of the contract the contract shall be cancelled without any notice and the security will be stand forfeited to PTCL.</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contractor shall be responsible for the loss &amp; shall pay any compensation to his workers payable under the workman compensation ACT-1923 (VI of 1923) for injuries caused to his work force.</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PTCL will not reimburse the contractor any loss to the contractor in carrying out the contract.</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work must be completed within the stipulated period mentioned in the work order.</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contractor will offer the completed work for inspection to be carried out by quality, operation &amp; development team members. The team will check quantity &amp; quality of work.</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rate quoted shall remain unchanged till completion of contract work.</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may be increase or decrease in the volume of work. The contractor shall arise no objection.</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terms &amp; conditions and subsequently placing of the work order shall not be challengeable in any court of law.</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Specific &amp; correct rates will be given by the contractor in the tender for supply &amp; installation of ACs &amp; other items.</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the contractor failed to complete the work, then work will be completed at the risk &amp; cost of the contractor &amp; he will be liable to be black listed for the future contract with the approval of the competent authority.</w:t>
      </w:r>
    </w:p>
    <w:p>
      <w:pPr>
        <w:numPr>
          <w:ilvl w:val="0"/>
          <w:numId w:val="38"/>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case of imported items, if abnormal variation in dollar rate observed during the tendering process then price escalation/de-escalation may be considered as per recommendation of procurement committee.</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42"/>
        </w:numPr>
        <w:spacing w:before="0" w:after="200" w:line="276"/>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Bid bond requirement</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Bid bond Rs. 100,000/-. The bidder shall deposit it along with the tender documents in shape of pay order in the favor of SM Finance Peshawar. The pay order should be put in the envelope of commercial bid.</w:t>
      </w:r>
    </w:p>
    <w:p>
      <w:pPr>
        <w:spacing w:before="0" w:after="200" w:line="276"/>
        <w:ind w:right="0" w:left="360" w:firstLine="0"/>
        <w:jc w:val="left"/>
        <w:rPr>
          <w:rFonts w:ascii="Calibri" w:hAnsi="Calibri" w:cs="Calibri" w:eastAsia="Calibri"/>
          <w:b/>
          <w:color w:val="auto"/>
          <w:spacing w:val="0"/>
          <w:position w:val="0"/>
          <w:sz w:val="24"/>
          <w:shd w:fill="auto" w:val="clear"/>
        </w:rPr>
      </w:pPr>
    </w:p>
    <w:p>
      <w:pPr>
        <w:numPr>
          <w:ilvl w:val="0"/>
          <w:numId w:val="45"/>
        </w:numPr>
        <w:spacing w:before="0" w:after="200" w:line="276"/>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Performance security</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Performance bond equivalent to 10% shall be applicable on contract/PO having value more than 5 million.</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47"/>
        </w:numPr>
        <w:spacing w:before="0" w:after="200" w:line="276"/>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Warranty requirement</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Warranty from the date of delivery must be provided by the vendor for the supplied items.</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49"/>
        </w:numPr>
        <w:spacing w:before="0" w:after="200" w:line="276"/>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Time lines/dead lines</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6.1 Query Submission dead line</w:t>
      </w:r>
    </w:p>
    <w:p>
      <w:pPr>
        <w:spacing w:before="0" w:after="200" w:line="276"/>
        <w:ind w:right="0" w:left="72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Any query/clarification required by bidder must be submitted 5 days before the closing date.</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6.2 Extension request dead line</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Request for extension of tender closing date must be submitted 2 days before submission deadline, if required. However, decision of extension shall be on recommendation of committee</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52"/>
        </w:numPr>
        <w:spacing w:before="0" w:after="200" w:line="276"/>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Technical evaluation criteria</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Technical Evaluation will be based on compliance of required specification, performance, quality and features, terms &amp; conditions etc.</w:t>
      </w:r>
    </w:p>
    <w:p>
      <w:pPr>
        <w:spacing w:before="0" w:after="200" w:line="276"/>
        <w:ind w:right="0" w:left="720" w:firstLine="0"/>
        <w:jc w:val="left"/>
        <w:rPr>
          <w:rFonts w:ascii="Calibri" w:hAnsi="Calibri" w:cs="Calibri" w:eastAsia="Calibri"/>
          <w:color w:val="auto"/>
          <w:spacing w:val="0"/>
          <w:position w:val="0"/>
          <w:sz w:val="24"/>
          <w:shd w:fill="auto" w:val="clear"/>
        </w:rPr>
      </w:pPr>
    </w:p>
    <w:p>
      <w:pPr>
        <w:numPr>
          <w:ilvl w:val="0"/>
          <w:numId w:val="54"/>
        </w:numPr>
        <w:spacing w:before="0" w:after="200" w:line="276"/>
        <w:ind w:right="0" w:left="36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Commercial Evaluation</w:t>
      </w: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Commercial Evaluation will be based on lowest quoted rates.</w:t>
      </w:r>
    </w:p>
    <w:p>
      <w:pPr>
        <w:spacing w:before="0" w:after="200" w:line="276"/>
        <w:ind w:right="0" w:left="720" w:firstLine="0"/>
        <w:jc w:val="left"/>
        <w:rPr>
          <w:rFonts w:ascii="Calibri" w:hAnsi="Calibri" w:cs="Calibri" w:eastAsia="Calibri"/>
          <w:b/>
          <w:color w:val="auto"/>
          <w:spacing w:val="0"/>
          <w:position w:val="0"/>
          <w:sz w:val="22"/>
          <w:shd w:fill="auto" w:val="clear"/>
        </w:rPr>
      </w:pPr>
    </w:p>
    <w:p>
      <w:pPr>
        <w:spacing w:before="0" w:after="200" w:line="276"/>
        <w:ind w:right="0" w:left="720" w:firstLine="0"/>
        <w:jc w:val="left"/>
        <w:rPr>
          <w:rFonts w:ascii="Calibri" w:hAnsi="Calibri" w:cs="Calibri" w:eastAsia="Calibri"/>
          <w:b/>
          <w:color w:val="auto"/>
          <w:spacing w:val="0"/>
          <w:position w:val="0"/>
          <w:sz w:val="22"/>
          <w:shd w:fill="auto" w:val="clear"/>
        </w:rPr>
      </w:pPr>
    </w:p>
    <w:tbl>
      <w:tblPr>
        <w:tblInd w:w="720" w:type="dxa"/>
      </w:tblPr>
      <w:tblGrid>
        <w:gridCol w:w="1166"/>
        <w:gridCol w:w="4591"/>
        <w:gridCol w:w="2873"/>
      </w:tblGrid>
      <w:tr>
        <w:trPr>
          <w:trHeight w:val="1" w:hRule="atLeast"/>
          <w:jc w:val="left"/>
        </w:trPr>
        <w:tc>
          <w:tcPr>
            <w:tcW w:w="863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 xml:space="preserve">Technical Bid</w:t>
            </w:r>
          </w:p>
        </w:tc>
      </w:tr>
      <w:tr>
        <w:trPr>
          <w:trHeight w:val="1" w:hRule="atLeast"/>
          <w:jc w:val="left"/>
        </w:trPr>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S/No</w:t>
            </w:r>
          </w:p>
        </w:tc>
        <w:tc>
          <w:tcPr>
            <w:tcW w:w="4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Description</w:t>
            </w:r>
          </w:p>
        </w:tc>
        <w:tc>
          <w:tcPr>
            <w:tcW w:w="2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Remarks</w:t>
            </w:r>
          </w:p>
        </w:tc>
      </w:tr>
      <w:tr>
        <w:trPr>
          <w:trHeight w:val="1" w:hRule="atLeast"/>
          <w:jc w:val="left"/>
        </w:trPr>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1</w:t>
            </w:r>
          </w:p>
        </w:tc>
        <w:tc>
          <w:tcPr>
            <w:tcW w:w="4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Compliance sheet</w:t>
            </w:r>
          </w:p>
        </w:tc>
        <w:tc>
          <w:tcPr>
            <w:tcW w:w="2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2</w:t>
            </w:r>
          </w:p>
        </w:tc>
        <w:tc>
          <w:tcPr>
            <w:tcW w:w="4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Details of resources(labor and machinery, tools and equipment)</w:t>
            </w:r>
          </w:p>
        </w:tc>
        <w:tc>
          <w:tcPr>
            <w:tcW w:w="2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3</w:t>
            </w:r>
          </w:p>
        </w:tc>
        <w:tc>
          <w:tcPr>
            <w:tcW w:w="4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Past experience regarding supply &amp; installation of AC units.</w:t>
            </w:r>
          </w:p>
        </w:tc>
        <w:tc>
          <w:tcPr>
            <w:tcW w:w="2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1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4</w:t>
            </w:r>
          </w:p>
        </w:tc>
        <w:tc>
          <w:tcPr>
            <w:tcW w:w="45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20"/>
                <w:shd w:fill="auto" w:val="clear"/>
              </w:rPr>
              <w:t xml:space="preserve">Proof of past Experience (Copies of P.Os)</w:t>
            </w:r>
          </w:p>
        </w:tc>
        <w:tc>
          <w:tcPr>
            <w:tcW w:w="28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BOQ for Inverter AC units 4 Ton</w:t>
      </w:r>
    </w:p>
    <w:tbl>
      <w:tblPr/>
      <w:tblGrid>
        <w:gridCol w:w="457"/>
        <w:gridCol w:w="5673"/>
        <w:gridCol w:w="900"/>
        <w:gridCol w:w="2430"/>
      </w:tblGrid>
      <w:tr>
        <w:trPr>
          <w:trHeight w:val="425"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S.No</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Description</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Unit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Rate</w:t>
            </w:r>
          </w:p>
        </w:tc>
      </w:tr>
      <w:tr>
        <w:trPr>
          <w:trHeight w:val="407"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1</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Supply of AC Units 4-ton Invertor type (Gree)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407"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2</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Supply n installation Sequence controller  for A/C units (2+1)</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08"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3</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stand for outdoor unit 4 Tons AC including painting and fitting</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75"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4</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Installation &amp; commissioning of AC unit</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200"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5</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Suction pipe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16"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6</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Discharge pipe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16"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7</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Water Drain pipe (PPRC/PVC)</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600"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8</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4 core AC cable 6mm from ACDB to AC unit  (Pak cable)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M</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600"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9</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3 Pole , 60 Amp Ckt breaker (Mitsubishi)</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16"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10</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Aeroflex/ Wrapping tape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M</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615"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11</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Control cable 1.5mm (Pak/Newage cable)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00FF00" w:val="clear"/>
        </w:rPr>
        <w:t xml:space="preserve">Delivery point is Telephone House Pesh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Note: Final Quantities will be as per PAT/Actual</w:t>
      </w: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p>
    <w:p>
      <w:pPr>
        <w:spacing w:before="0" w:after="20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BOQ for Inverter AC units 1.5 Ton</w:t>
      </w:r>
    </w:p>
    <w:tbl>
      <w:tblPr/>
      <w:tblGrid>
        <w:gridCol w:w="457"/>
        <w:gridCol w:w="5673"/>
        <w:gridCol w:w="900"/>
        <w:gridCol w:w="2430"/>
      </w:tblGrid>
      <w:tr>
        <w:trPr>
          <w:trHeight w:val="425"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S.No</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Description</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Unit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b/>
                <w:color w:val="000000"/>
                <w:spacing w:val="0"/>
                <w:position w:val="0"/>
                <w:sz w:val="22"/>
                <w:shd w:fill="auto" w:val="clear"/>
              </w:rPr>
              <w:t xml:space="preserve">Rate</w:t>
            </w:r>
          </w:p>
        </w:tc>
      </w:tr>
      <w:tr>
        <w:trPr>
          <w:trHeight w:val="407"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1</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Supply of AC Units 1.5-ton Invertor type (Gree)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407"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2</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Supply n installation Sequence controller  for A/C units (2+1)</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08"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3</w:t>
            </w:r>
          </w:p>
        </w:tc>
        <w:tc>
          <w:tcPr>
            <w:tcW w:w="567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stand for outdoor unit 1.5 Tons AC including painting and fitting</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75"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4</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Installation &amp; commissioning of AC unit</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200"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5</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Suction pipe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16"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6</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Discharge pipe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16"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7</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Water Drain pipe (PPRC/PVC)</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600"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8</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2 core AC cable 16mm from ACDB to AC unit  (Pak cable)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M</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600"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9</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1 Pole , 60 Amp Ckt breaker (Mitsubishi)</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Ea</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316"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10</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Aeroflex/ Wrapping tape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M</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615" w:hRule="auto"/>
          <w:jc w:val="left"/>
        </w:trPr>
        <w:tc>
          <w:tcPr>
            <w:tcW w:w="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11</w:t>
            </w:r>
          </w:p>
        </w:tc>
        <w:tc>
          <w:tcPr>
            <w:tcW w:w="5673"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left"/>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Control cable 1.5mm (Pak/Newage cable)</w:t>
            </w:r>
          </w:p>
        </w:tc>
        <w:tc>
          <w:tcPr>
            <w:tcW w:w="90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spacing w:val="0"/>
                <w:position w:val="0"/>
                <w:sz w:val="22"/>
              </w:rPr>
            </w:pPr>
            <w:r>
              <w:rPr>
                <w:rFonts w:ascii="Calibri" w:hAnsi="Calibri" w:cs="Calibri" w:eastAsia="Calibri"/>
                <w:color w:val="000000"/>
                <w:spacing w:val="0"/>
                <w:position w:val="0"/>
                <w:sz w:val="22"/>
                <w:shd w:fill="auto" w:val="clear"/>
              </w:rPr>
              <w:t xml:space="preserve">ft</w:t>
            </w:r>
          </w:p>
        </w:tc>
        <w:tc>
          <w:tcPr>
            <w:tcW w:w="2430" w:type="dxa"/>
            <w:tcBorders>
              <w:top w:val="single" w:color="000000" w:sz="4"/>
              <w:left w:val="single" w:color="000000" w:sz="4"/>
              <w:bottom w:val="single" w:color="000000" w:sz="4"/>
              <w:right w:val="single" w:color="000000" w:sz="4"/>
            </w:tcBorders>
            <w:shd w:color="auto" w:fill="auto" w:val="clear"/>
            <w:tcMar>
              <w:left w:w="14" w:type="dxa"/>
              <w:right w:w="14" w:type="dxa"/>
            </w:tcMar>
            <w:vAlign w:val="bottom"/>
          </w:tcPr>
          <w:p>
            <w:pPr>
              <w:spacing w:before="0" w:after="200" w:line="276"/>
              <w:ind w:right="0" w:left="0" w:firstLine="0"/>
              <w:jc w:val="center"/>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00FFFF" w:val="clear"/>
        </w:rPr>
        <w:t xml:space="preserve">Delivery point is Telephone House Pesh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Note: Final Quantities will be as per PAT/Actual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720" w:hanging="720"/>
        <w:jc w:val="both"/>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num w:numId="7">
    <w:abstractNumId w:val="108"/>
  </w:num>
  <w:num w:numId="9">
    <w:abstractNumId w:val="102"/>
  </w:num>
  <w:num w:numId="11">
    <w:abstractNumId w:val="96"/>
  </w:num>
  <w:num w:numId="13">
    <w:abstractNumId w:val="90"/>
  </w:num>
  <w:num w:numId="15">
    <w:abstractNumId w:val="84"/>
  </w:num>
  <w:num w:numId="17">
    <w:abstractNumId w:val="78"/>
  </w:num>
  <w:num w:numId="19">
    <w:abstractNumId w:val="72"/>
  </w:num>
  <w:num w:numId="28">
    <w:abstractNumId w:val="66"/>
  </w:num>
  <w:num w:numId="30">
    <w:abstractNumId w:val="60"/>
  </w:num>
  <w:num w:numId="32">
    <w:abstractNumId w:val="54"/>
  </w:num>
  <w:num w:numId="34">
    <w:abstractNumId w:val="48"/>
  </w:num>
  <w:num w:numId="36">
    <w:abstractNumId w:val="42"/>
  </w:num>
  <w:num w:numId="38">
    <w:abstractNumId w:val="36"/>
  </w:num>
  <w:num w:numId="42">
    <w:abstractNumId w:val="30"/>
  </w:num>
  <w:num w:numId="45">
    <w:abstractNumId w:val="24"/>
  </w:num>
  <w:num w:numId="47">
    <w:abstractNumId w:val="18"/>
  </w:num>
  <w:num w:numId="49">
    <w:abstractNumId w:val="12"/>
  </w:num>
  <w:num w:numId="52">
    <w:abstractNumId w:val="6"/>
  </w:num>
  <w:num w:numId="5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ptcl.com.pk/media" Id="docRId0" Type="http://schemas.openxmlformats.org/officeDocument/2006/relationships/hyperlink" /><Relationship TargetMode="External" Target="mailto:Ibrar.Hussain1@ptcl.net.pk"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