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2"/>
        <w:gridCol w:w="6504"/>
      </w:tblGrid>
      <w:tr w:rsidR="00206A72" w:rsidRPr="004043D5" w:rsidTr="00ED118B">
        <w:tc>
          <w:tcPr>
            <w:tcW w:w="2352" w:type="dxa"/>
          </w:tcPr>
          <w:p w:rsidR="00206A72" w:rsidRPr="004043D5" w:rsidRDefault="00206A72" w:rsidP="00ED118B">
            <w:pPr>
              <w:rPr>
                <w:b/>
                <w:sz w:val="16"/>
                <w:szCs w:val="16"/>
              </w:rPr>
            </w:pPr>
            <w:r>
              <w:rPr>
                <w:noProof/>
                <w:color w:val="669513"/>
                <w:sz w:val="18"/>
                <w:szCs w:val="18"/>
              </w:rPr>
              <w:drawing>
                <wp:inline distT="0" distB="0" distL="0" distR="0" wp14:anchorId="31752A21" wp14:editId="76DDFF70">
                  <wp:extent cx="1130907" cy="712382"/>
                  <wp:effectExtent l="0" t="0" r="0" b="0"/>
                  <wp:docPr id="5" name="Picture 5" descr="F:\My Documents\My Pictures\new_pt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y Documents\My Pictures\new_pt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05" cy="71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</w:tcPr>
          <w:p w:rsidR="00206A72" w:rsidRPr="004043D5" w:rsidRDefault="00206A72" w:rsidP="00ED118B">
            <w:pPr>
              <w:jc w:val="center"/>
              <w:rPr>
                <w:b/>
                <w:u w:val="single"/>
              </w:rPr>
            </w:pPr>
          </w:p>
          <w:p w:rsidR="00206A72" w:rsidRPr="004043D5" w:rsidRDefault="00206A72" w:rsidP="00ED118B">
            <w:pPr>
              <w:jc w:val="center"/>
              <w:rPr>
                <w:b/>
                <w:u w:val="single"/>
              </w:rPr>
            </w:pPr>
            <w:r w:rsidRPr="004043D5">
              <w:rPr>
                <w:b/>
                <w:u w:val="single"/>
              </w:rPr>
              <w:t>PAKISTAN TELECOMMUNICATION COMPANY LTD.</w:t>
            </w:r>
          </w:p>
          <w:p w:rsidR="00206A72" w:rsidRPr="004043D5" w:rsidRDefault="00206A72" w:rsidP="00ED118B">
            <w:pPr>
              <w:jc w:val="center"/>
              <w:rPr>
                <w:b/>
                <w:sz w:val="16"/>
                <w:szCs w:val="16"/>
              </w:rPr>
            </w:pPr>
            <w:r w:rsidRPr="004043D5">
              <w:rPr>
                <w:b/>
                <w:u w:val="single"/>
              </w:rPr>
              <w:t>HEADQUARTERS, G-8/</w:t>
            </w:r>
            <w:proofErr w:type="gramStart"/>
            <w:r w:rsidRPr="004043D5">
              <w:rPr>
                <w:b/>
                <w:u w:val="single"/>
              </w:rPr>
              <w:t>4 ,</w:t>
            </w:r>
            <w:proofErr w:type="gramEnd"/>
            <w:r w:rsidRPr="004043D5">
              <w:rPr>
                <w:b/>
                <w:u w:val="single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043D5">
                  <w:rPr>
                    <w:b/>
                    <w:u w:val="single"/>
                  </w:rPr>
                  <w:t>ISLAMABAD</w:t>
                </w:r>
              </w:smartTag>
            </w:smartTag>
            <w:r w:rsidRPr="004043D5">
              <w:rPr>
                <w:b/>
                <w:u w:val="single"/>
              </w:rPr>
              <w:t>.</w:t>
            </w:r>
          </w:p>
          <w:p w:rsidR="00206A72" w:rsidRPr="004043D5" w:rsidRDefault="00206A72" w:rsidP="00ED118B">
            <w:pPr>
              <w:rPr>
                <w:b/>
                <w:sz w:val="16"/>
                <w:szCs w:val="16"/>
              </w:rPr>
            </w:pPr>
          </w:p>
        </w:tc>
      </w:tr>
      <w:tr w:rsidR="00206A72" w:rsidRPr="004043D5" w:rsidTr="00ED118B">
        <w:trPr>
          <w:trHeight w:val="381"/>
        </w:trPr>
        <w:tc>
          <w:tcPr>
            <w:tcW w:w="2352" w:type="dxa"/>
          </w:tcPr>
          <w:p w:rsidR="00206A72" w:rsidRDefault="00206A72" w:rsidP="00ED118B">
            <w:pPr>
              <w:rPr>
                <w:noProof/>
                <w:color w:val="669513"/>
                <w:sz w:val="18"/>
                <w:szCs w:val="18"/>
              </w:rPr>
            </w:pPr>
          </w:p>
          <w:p w:rsidR="00206A72" w:rsidRDefault="00206A72" w:rsidP="00ED118B">
            <w:pPr>
              <w:rPr>
                <w:noProof/>
                <w:color w:val="669513"/>
                <w:sz w:val="18"/>
                <w:szCs w:val="18"/>
              </w:rPr>
            </w:pPr>
          </w:p>
        </w:tc>
        <w:tc>
          <w:tcPr>
            <w:tcW w:w="6504" w:type="dxa"/>
          </w:tcPr>
          <w:p w:rsidR="00206A72" w:rsidRPr="004043D5" w:rsidRDefault="00206A72" w:rsidP="00ED118B">
            <w:pPr>
              <w:jc w:val="center"/>
              <w:rPr>
                <w:b/>
                <w:u w:val="single"/>
              </w:rPr>
            </w:pPr>
          </w:p>
        </w:tc>
      </w:tr>
    </w:tbl>
    <w:p w:rsidR="00206A72" w:rsidRPr="000A4C3C" w:rsidRDefault="00206A72" w:rsidP="00206A72">
      <w:pPr>
        <w:pStyle w:val="Heading1"/>
        <w:jc w:val="center"/>
        <w:rPr>
          <w:b/>
          <w:color w:val="auto"/>
          <w:sz w:val="28"/>
          <w:u w:val="single"/>
        </w:rPr>
      </w:pPr>
      <w:r w:rsidRPr="000A4C3C">
        <w:rPr>
          <w:b/>
          <w:color w:val="auto"/>
          <w:sz w:val="28"/>
          <w:u w:val="single"/>
        </w:rPr>
        <w:t>TENDER NOTICE</w:t>
      </w:r>
    </w:p>
    <w:p w:rsidR="00206A72" w:rsidRPr="000A4C3C" w:rsidRDefault="00206A72" w:rsidP="00206A72">
      <w:pPr>
        <w:jc w:val="center"/>
        <w:rPr>
          <w:b/>
          <w:sz w:val="28"/>
        </w:rPr>
      </w:pPr>
      <w:r w:rsidRPr="000A4C3C">
        <w:rPr>
          <w:b/>
          <w:sz w:val="28"/>
        </w:rPr>
        <w:t>No. Proc. 3-4/2/</w:t>
      </w:r>
      <w:r>
        <w:rPr>
          <w:b/>
          <w:sz w:val="28"/>
        </w:rPr>
        <w:t>15</w:t>
      </w:r>
      <w:r w:rsidRPr="000A4C3C">
        <w:rPr>
          <w:b/>
          <w:sz w:val="28"/>
        </w:rPr>
        <w:t>021</w:t>
      </w:r>
      <w:r>
        <w:rPr>
          <w:b/>
          <w:sz w:val="28"/>
        </w:rPr>
        <w:t>7</w:t>
      </w:r>
      <w:r w:rsidRPr="000A4C3C">
        <w:rPr>
          <w:b/>
          <w:sz w:val="28"/>
        </w:rPr>
        <w:t>/16</w:t>
      </w:r>
      <w:r>
        <w:rPr>
          <w:b/>
          <w:sz w:val="28"/>
        </w:rPr>
        <w:t>65</w:t>
      </w:r>
    </w:p>
    <w:p w:rsidR="00206A72" w:rsidRDefault="00206A72" w:rsidP="00206A72">
      <w:pPr>
        <w:jc w:val="center"/>
        <w:rPr>
          <w:b/>
          <w:sz w:val="22"/>
          <w:szCs w:val="28"/>
        </w:rPr>
      </w:pPr>
      <w:r w:rsidRPr="000A4C3C">
        <w:rPr>
          <w:b/>
          <w:sz w:val="22"/>
          <w:szCs w:val="28"/>
        </w:rPr>
        <w:t xml:space="preserve">Supply, </w:t>
      </w:r>
      <w:r>
        <w:rPr>
          <w:b/>
          <w:sz w:val="22"/>
          <w:szCs w:val="28"/>
        </w:rPr>
        <w:t xml:space="preserve">Installation, </w:t>
      </w:r>
      <w:r w:rsidRPr="000A4C3C">
        <w:rPr>
          <w:b/>
          <w:sz w:val="22"/>
          <w:szCs w:val="28"/>
        </w:rPr>
        <w:t xml:space="preserve">Laying, Jointing, Testing and Commissioning of </w:t>
      </w:r>
      <w:r>
        <w:rPr>
          <w:b/>
          <w:sz w:val="22"/>
          <w:szCs w:val="28"/>
        </w:rPr>
        <w:t>ODN (Optical Distribution Network ) part for 15K GPON Lines project (FTTH) for Bahria Town on Turnkey Basis.</w:t>
      </w:r>
    </w:p>
    <w:p w:rsidR="00206A72" w:rsidRPr="000A4C3C" w:rsidRDefault="00206A72" w:rsidP="00206A72">
      <w:pPr>
        <w:jc w:val="center"/>
        <w:rPr>
          <w:b/>
          <w:sz w:val="22"/>
          <w:szCs w:val="28"/>
        </w:rPr>
      </w:pPr>
      <w:r w:rsidRPr="000A4C3C">
        <w:rPr>
          <w:u w:val="single"/>
        </w:rPr>
        <w:t xml:space="preserve"> </w:t>
      </w:r>
    </w:p>
    <w:p w:rsidR="00206A72" w:rsidRPr="000A4C3C" w:rsidRDefault="00206A72" w:rsidP="00206A72">
      <w:pPr>
        <w:jc w:val="center"/>
        <w:rPr>
          <w:b/>
          <w:sz w:val="22"/>
        </w:rPr>
      </w:pPr>
    </w:p>
    <w:p w:rsidR="00206A72" w:rsidRPr="000A4C3C" w:rsidRDefault="00206A72" w:rsidP="00206A7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206A72">
        <w:rPr>
          <w:sz w:val="20"/>
          <w:szCs w:val="22"/>
        </w:rPr>
        <w:t xml:space="preserve">Sealed bids are invited from reputed manufacturers or their authorized agent on DDP (PKR) Only or USD CFR/CPT &amp; DDP (PKR) Basis (Priority will be given to DDP PKR Only option) for Supply, Installation, Laying, Jointing, Testing and Commissioning of ODN (Optical Distribution Network) part for </w:t>
      </w:r>
      <w:r w:rsidR="00304ECB">
        <w:rPr>
          <w:sz w:val="20"/>
          <w:szCs w:val="22"/>
        </w:rPr>
        <w:t xml:space="preserve">around </w:t>
      </w:r>
      <w:r w:rsidRPr="00206A72">
        <w:rPr>
          <w:sz w:val="20"/>
          <w:szCs w:val="22"/>
        </w:rPr>
        <w:t>15</w:t>
      </w:r>
      <w:r w:rsidR="00304ECB">
        <w:rPr>
          <w:sz w:val="20"/>
          <w:szCs w:val="22"/>
        </w:rPr>
        <w:t>000</w:t>
      </w:r>
      <w:r w:rsidRPr="00206A72">
        <w:rPr>
          <w:sz w:val="20"/>
          <w:szCs w:val="22"/>
        </w:rPr>
        <w:t xml:space="preserve"> GPON Lines project (FTTH) for Bahria Town on Turnkey Basis</w:t>
      </w:r>
      <w:r>
        <w:rPr>
          <w:sz w:val="20"/>
          <w:szCs w:val="22"/>
        </w:rPr>
        <w:t xml:space="preserve"> </w:t>
      </w:r>
      <w:r w:rsidRPr="00206A72">
        <w:rPr>
          <w:sz w:val="20"/>
          <w:szCs w:val="22"/>
        </w:rPr>
        <w:t xml:space="preserve">in accordance with PTCL specifications. </w:t>
      </w:r>
    </w:p>
    <w:p w:rsidR="00206A72" w:rsidRPr="000A4C3C" w:rsidRDefault="00206A72" w:rsidP="00206A72">
      <w:pPr>
        <w:pStyle w:val="ListParagraph"/>
        <w:jc w:val="both"/>
        <w:rPr>
          <w:sz w:val="20"/>
          <w:szCs w:val="22"/>
        </w:rPr>
      </w:pPr>
    </w:p>
    <w:p w:rsidR="00206A72" w:rsidRPr="000A4C3C" w:rsidRDefault="00206A72" w:rsidP="00206A7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0A4C3C">
        <w:rPr>
          <w:sz w:val="20"/>
          <w:szCs w:val="22"/>
        </w:rPr>
        <w:t xml:space="preserve">The bid documents are available in the office of the undersigned and can be obtained on payment of </w:t>
      </w:r>
      <w:r w:rsidRPr="000A4C3C">
        <w:rPr>
          <w:b/>
          <w:sz w:val="20"/>
          <w:szCs w:val="22"/>
        </w:rPr>
        <w:t>Rs.2</w:t>
      </w:r>
      <w:proofErr w:type="gramStart"/>
      <w:r w:rsidRPr="000A4C3C">
        <w:rPr>
          <w:b/>
          <w:sz w:val="20"/>
          <w:szCs w:val="22"/>
        </w:rPr>
        <w:t>,500</w:t>
      </w:r>
      <w:proofErr w:type="gramEnd"/>
      <w:r w:rsidRPr="000A4C3C">
        <w:rPr>
          <w:b/>
          <w:sz w:val="20"/>
          <w:szCs w:val="22"/>
        </w:rPr>
        <w:t>/-</w:t>
      </w:r>
      <w:r w:rsidRPr="000A4C3C">
        <w:rPr>
          <w:sz w:val="20"/>
          <w:szCs w:val="22"/>
        </w:rPr>
        <w:t xml:space="preserve"> (non-refundable) through Bank Draft/Pay Order in name  of PTCL Headquarters Islamabad.</w:t>
      </w:r>
    </w:p>
    <w:p w:rsidR="00206A72" w:rsidRPr="000A4C3C" w:rsidRDefault="00206A72" w:rsidP="00206A72">
      <w:pPr>
        <w:pStyle w:val="ListParagraph"/>
        <w:jc w:val="both"/>
        <w:rPr>
          <w:sz w:val="20"/>
          <w:szCs w:val="22"/>
        </w:rPr>
      </w:pPr>
    </w:p>
    <w:p w:rsidR="00206A72" w:rsidRPr="006947B1" w:rsidRDefault="00206A72" w:rsidP="00206A72">
      <w:pPr>
        <w:pStyle w:val="ListParagraph"/>
        <w:numPr>
          <w:ilvl w:val="0"/>
          <w:numId w:val="1"/>
        </w:numPr>
        <w:jc w:val="both"/>
        <w:rPr>
          <w:b/>
          <w:sz w:val="20"/>
          <w:szCs w:val="22"/>
        </w:rPr>
      </w:pPr>
      <w:r w:rsidRPr="000A4C3C">
        <w:rPr>
          <w:sz w:val="20"/>
          <w:szCs w:val="22"/>
        </w:rPr>
        <w:t xml:space="preserve">Bids with Bid Security of 02% of the total quoted price shall be submitted to PTCL Headquarters, Islamabad as per instructions to the bidders contained in the Bid Documents by 1100 hours on </w:t>
      </w:r>
      <w:r w:rsidRPr="00206A72">
        <w:rPr>
          <w:b/>
          <w:sz w:val="20"/>
          <w:szCs w:val="22"/>
          <w:u w:val="single"/>
        </w:rPr>
        <w:t>22</w:t>
      </w:r>
      <w:r w:rsidRPr="00B04074">
        <w:rPr>
          <w:b/>
          <w:sz w:val="22"/>
          <w:szCs w:val="22"/>
          <w:u w:val="single"/>
        </w:rPr>
        <w:t>-0</w:t>
      </w:r>
      <w:r>
        <w:rPr>
          <w:b/>
          <w:sz w:val="22"/>
          <w:szCs w:val="22"/>
          <w:u w:val="single"/>
        </w:rPr>
        <w:t>2</w:t>
      </w:r>
      <w:r w:rsidRPr="00B04074">
        <w:rPr>
          <w:b/>
          <w:sz w:val="22"/>
          <w:szCs w:val="22"/>
          <w:u w:val="single"/>
        </w:rPr>
        <w:t>-201</w:t>
      </w:r>
      <w:r>
        <w:rPr>
          <w:b/>
          <w:sz w:val="22"/>
          <w:szCs w:val="22"/>
          <w:u w:val="single"/>
        </w:rPr>
        <w:t>7</w:t>
      </w:r>
      <w:r w:rsidRPr="000A4C3C">
        <w:rPr>
          <w:sz w:val="20"/>
          <w:szCs w:val="22"/>
        </w:rPr>
        <w:t xml:space="preserve"> positively. In case of non-compliance, the bids will be disqualified from further processing. Bid(s) received after the above</w:t>
      </w:r>
      <w:r w:rsidR="00304ECB">
        <w:rPr>
          <w:sz w:val="20"/>
          <w:szCs w:val="22"/>
        </w:rPr>
        <w:t xml:space="preserve"> deadline shall not be accepted; moreover, please be informed that </w:t>
      </w:r>
      <w:r w:rsidR="00304ECB" w:rsidRPr="006947B1">
        <w:rPr>
          <w:b/>
          <w:sz w:val="20"/>
          <w:szCs w:val="22"/>
          <w:u w:val="single"/>
        </w:rPr>
        <w:t xml:space="preserve">no extension/ relaxation in deadline for submission (i.e. 1100 </w:t>
      </w:r>
      <w:proofErr w:type="spellStart"/>
      <w:r w:rsidR="00304ECB" w:rsidRPr="006947B1">
        <w:rPr>
          <w:b/>
          <w:sz w:val="20"/>
          <w:szCs w:val="22"/>
          <w:u w:val="single"/>
        </w:rPr>
        <w:t>hrs</w:t>
      </w:r>
      <w:proofErr w:type="spellEnd"/>
      <w:r w:rsidR="00304ECB" w:rsidRPr="006947B1">
        <w:rPr>
          <w:b/>
          <w:sz w:val="20"/>
          <w:szCs w:val="22"/>
          <w:u w:val="single"/>
        </w:rPr>
        <w:t xml:space="preserve"> 22-02-2017) shall be observed, at all.</w:t>
      </w:r>
    </w:p>
    <w:p w:rsidR="00206A72" w:rsidRPr="000A4C3C" w:rsidRDefault="00206A72" w:rsidP="00206A72">
      <w:pPr>
        <w:jc w:val="both"/>
        <w:rPr>
          <w:sz w:val="20"/>
          <w:szCs w:val="22"/>
        </w:rPr>
      </w:pPr>
    </w:p>
    <w:p w:rsidR="00206A72" w:rsidRPr="000A4C3C" w:rsidRDefault="00206A72" w:rsidP="00206A7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0A4C3C">
        <w:rPr>
          <w:sz w:val="20"/>
          <w:szCs w:val="22"/>
        </w:rPr>
        <w:t>PTCL reserves the right to reject any or all bids and to annul the bidding process at any</w:t>
      </w:r>
      <w:bookmarkStart w:id="0" w:name="_GoBack"/>
      <w:bookmarkEnd w:id="0"/>
      <w:r w:rsidRPr="000A4C3C">
        <w:rPr>
          <w:sz w:val="20"/>
          <w:szCs w:val="22"/>
        </w:rPr>
        <w:t xml:space="preserve"> time, without thereby incurring any liability to the affected bidder (s) or any obligations to inform the affected bidder(s) of the grounds for PTCL Action.</w:t>
      </w:r>
    </w:p>
    <w:p w:rsidR="00206A72" w:rsidRPr="000A4C3C" w:rsidRDefault="00206A72" w:rsidP="00206A72">
      <w:pPr>
        <w:jc w:val="both"/>
        <w:rPr>
          <w:sz w:val="20"/>
          <w:szCs w:val="22"/>
        </w:rPr>
      </w:pPr>
    </w:p>
    <w:p w:rsidR="00206A72" w:rsidRPr="000A4C3C" w:rsidRDefault="00206A72" w:rsidP="00206A7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0A4C3C">
        <w:rPr>
          <w:sz w:val="20"/>
          <w:szCs w:val="22"/>
        </w:rPr>
        <w:t xml:space="preserve">Bidder must mention their Vendor Registration code on offer. In case vendor is not registered, then registration must be done before the issuance of Letter of Intent (LOI). </w:t>
      </w:r>
    </w:p>
    <w:p w:rsidR="00206A72" w:rsidRPr="000A4C3C" w:rsidRDefault="00206A72" w:rsidP="00206A72">
      <w:pPr>
        <w:pStyle w:val="ListParagraph"/>
        <w:rPr>
          <w:sz w:val="20"/>
          <w:szCs w:val="22"/>
        </w:rPr>
      </w:pPr>
    </w:p>
    <w:p w:rsidR="00206A72" w:rsidRPr="000A4C3C" w:rsidRDefault="00206A72" w:rsidP="00206A7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0A4C3C">
        <w:rPr>
          <w:sz w:val="20"/>
          <w:szCs w:val="22"/>
        </w:rPr>
        <w:t>Bidder must submit its bid with given format and complete in all respect. Incomplete/partial bids will not be entertained and the bidder will be disqualified without any further notice.</w:t>
      </w:r>
    </w:p>
    <w:p w:rsidR="00206A72" w:rsidRPr="000A4C3C" w:rsidRDefault="00206A72" w:rsidP="00206A72">
      <w:pPr>
        <w:jc w:val="both"/>
        <w:rPr>
          <w:sz w:val="20"/>
          <w:szCs w:val="22"/>
        </w:rPr>
      </w:pPr>
    </w:p>
    <w:p w:rsidR="00206A72" w:rsidRPr="000A4C3C" w:rsidRDefault="00206A72" w:rsidP="00206A7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0A4C3C">
        <w:rPr>
          <w:sz w:val="20"/>
          <w:szCs w:val="22"/>
        </w:rPr>
        <w:t>All correspondence on the subject may be addressed to the undersigned</w:t>
      </w:r>
    </w:p>
    <w:p w:rsidR="00206A72" w:rsidRPr="000A4C3C" w:rsidRDefault="00206A72" w:rsidP="00206A72">
      <w:pPr>
        <w:ind w:firstLine="720"/>
        <w:jc w:val="both"/>
        <w:rPr>
          <w:sz w:val="22"/>
        </w:rPr>
      </w:pPr>
      <w:r w:rsidRPr="000A4C3C">
        <w:rPr>
          <w:sz w:val="22"/>
        </w:rPr>
        <w:t xml:space="preserve">                                                           </w:t>
      </w:r>
    </w:p>
    <w:p w:rsidR="00206A72" w:rsidRDefault="00206A72" w:rsidP="00206A72">
      <w:pPr>
        <w:pStyle w:val="Default"/>
        <w:rPr>
          <w:b/>
          <w:bCs/>
          <w:sz w:val="20"/>
          <w:szCs w:val="20"/>
        </w:rPr>
      </w:pPr>
    </w:p>
    <w:p w:rsidR="00206A72" w:rsidRDefault="00206A72" w:rsidP="00206A7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Senior Manager </w:t>
      </w:r>
    </w:p>
    <w:p w:rsidR="00206A72" w:rsidRDefault="00206A72" w:rsidP="00206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Contracts Turnkey </w:t>
      </w:r>
    </w:p>
    <w:p w:rsidR="00206A72" w:rsidRDefault="00206A72" w:rsidP="00206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(TX &amp; OFAN) </w:t>
      </w:r>
    </w:p>
    <w:p w:rsidR="00206A72" w:rsidRDefault="00460D0D" w:rsidP="00206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Room# </w:t>
      </w:r>
      <w:r w:rsidR="00206A72">
        <w:rPr>
          <w:sz w:val="20"/>
          <w:szCs w:val="20"/>
        </w:rPr>
        <w:t>1, 4</w:t>
      </w:r>
      <w:r w:rsidR="00206A72">
        <w:rPr>
          <w:sz w:val="13"/>
          <w:szCs w:val="13"/>
        </w:rPr>
        <w:t xml:space="preserve">th </w:t>
      </w:r>
      <w:r w:rsidR="00206A72">
        <w:rPr>
          <w:sz w:val="20"/>
          <w:szCs w:val="20"/>
        </w:rPr>
        <w:t xml:space="preserve">Floor, Old Building, </w:t>
      </w:r>
    </w:p>
    <w:p w:rsidR="00206A72" w:rsidRDefault="00206A72" w:rsidP="00206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PTCL Headquarters, G-8/4, Islamabad </w:t>
      </w:r>
    </w:p>
    <w:p w:rsidR="00206A72" w:rsidRDefault="00206A72" w:rsidP="00206A7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Tel :</w:t>
      </w:r>
      <w:proofErr w:type="gramEnd"/>
      <w:r>
        <w:rPr>
          <w:sz w:val="20"/>
          <w:szCs w:val="20"/>
        </w:rPr>
        <w:t xml:space="preserve"> +92-51- 5892340 </w:t>
      </w:r>
    </w:p>
    <w:p w:rsidR="00206A72" w:rsidRDefault="00206A72" w:rsidP="00206A72">
      <w:r>
        <w:rPr>
          <w:sz w:val="20"/>
          <w:szCs w:val="20"/>
        </w:rPr>
        <w:t>Email: shahid.rasheed@ptcl.net.pk</w:t>
      </w:r>
    </w:p>
    <w:sectPr w:rsidR="0020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3A61"/>
    <w:multiLevelType w:val="hybridMultilevel"/>
    <w:tmpl w:val="AA2A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2"/>
    <w:rsid w:val="000851FB"/>
    <w:rsid w:val="00206A72"/>
    <w:rsid w:val="002F2957"/>
    <w:rsid w:val="00304ECB"/>
    <w:rsid w:val="00460D0D"/>
    <w:rsid w:val="00651240"/>
    <w:rsid w:val="006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l1,h1,I1,1st level,HEADING 1"/>
    <w:basedOn w:val="Normal"/>
    <w:next w:val="Normal"/>
    <w:link w:val="Heading1Char"/>
    <w:qFormat/>
    <w:rsid w:val="00206A72"/>
    <w:pPr>
      <w:keepNext/>
      <w:spacing w:before="100" w:beforeAutospacing="1" w:after="100" w:afterAutospacing="1"/>
      <w:jc w:val="both"/>
      <w:outlineLvl w:val="0"/>
    </w:pPr>
    <w:rPr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,h1 Char,I1 Char,1st level Char,HEADING 1 Char"/>
    <w:basedOn w:val="DefaultParagraphFont"/>
    <w:link w:val="Heading1"/>
    <w:rsid w:val="00206A72"/>
    <w:rPr>
      <w:rFonts w:ascii="Times New Roman" w:eastAsia="Times New Roman" w:hAnsi="Times New Roman" w:cs="Times New Roman"/>
      <w:color w:val="FF0000"/>
      <w:sz w:val="32"/>
      <w:szCs w:val="24"/>
    </w:rPr>
  </w:style>
  <w:style w:type="character" w:styleId="Hyperlink">
    <w:name w:val="Hyperlink"/>
    <w:basedOn w:val="DefaultParagraphFont"/>
    <w:uiPriority w:val="99"/>
    <w:rsid w:val="00206A72"/>
    <w:rPr>
      <w:color w:val="0000FF"/>
      <w:u w:val="single"/>
    </w:rPr>
  </w:style>
  <w:style w:type="paragraph" w:styleId="ListParagraph">
    <w:name w:val="List Paragraph"/>
    <w:basedOn w:val="Normal"/>
    <w:qFormat/>
    <w:rsid w:val="00206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0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l1,h1,I1,1st level,HEADING 1"/>
    <w:basedOn w:val="Normal"/>
    <w:next w:val="Normal"/>
    <w:link w:val="Heading1Char"/>
    <w:qFormat/>
    <w:rsid w:val="00206A72"/>
    <w:pPr>
      <w:keepNext/>
      <w:spacing w:before="100" w:beforeAutospacing="1" w:after="100" w:afterAutospacing="1"/>
      <w:jc w:val="both"/>
      <w:outlineLvl w:val="0"/>
    </w:pPr>
    <w:rPr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,h1 Char,I1 Char,1st level Char,HEADING 1 Char"/>
    <w:basedOn w:val="DefaultParagraphFont"/>
    <w:link w:val="Heading1"/>
    <w:rsid w:val="00206A72"/>
    <w:rPr>
      <w:rFonts w:ascii="Times New Roman" w:eastAsia="Times New Roman" w:hAnsi="Times New Roman" w:cs="Times New Roman"/>
      <w:color w:val="FF0000"/>
      <w:sz w:val="32"/>
      <w:szCs w:val="24"/>
    </w:rPr>
  </w:style>
  <w:style w:type="character" w:styleId="Hyperlink">
    <w:name w:val="Hyperlink"/>
    <w:basedOn w:val="DefaultParagraphFont"/>
    <w:uiPriority w:val="99"/>
    <w:rsid w:val="00206A72"/>
    <w:rPr>
      <w:color w:val="0000FF"/>
      <w:u w:val="single"/>
    </w:rPr>
  </w:style>
  <w:style w:type="paragraph" w:styleId="ListParagraph">
    <w:name w:val="List Paragraph"/>
    <w:basedOn w:val="Normal"/>
    <w:qFormat/>
    <w:rsid w:val="00206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0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Raja Usman Sarwar/AM (Brand Management)/PTCL</cp:lastModifiedBy>
  <cp:revision>2</cp:revision>
  <dcterms:created xsi:type="dcterms:W3CDTF">2017-02-16T05:18:00Z</dcterms:created>
  <dcterms:modified xsi:type="dcterms:W3CDTF">2017-02-16T05:18:00Z</dcterms:modified>
</cp:coreProperties>
</file>