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02" w:type="dxa"/>
        <w:jc w:val="center"/>
        <w:tblLook w:val="01E0" w:firstRow="1" w:lastRow="1" w:firstColumn="1" w:lastColumn="1" w:noHBand="0" w:noVBand="0"/>
      </w:tblPr>
      <w:tblGrid>
        <w:gridCol w:w="2706"/>
        <w:gridCol w:w="6696"/>
      </w:tblGrid>
      <w:tr w:rsidR="00DB4ED6" w:rsidRPr="008C3C90" w:rsidTr="00F61E86">
        <w:trPr>
          <w:trHeight w:val="1026"/>
          <w:jc w:val="center"/>
        </w:trPr>
        <w:tc>
          <w:tcPr>
            <w:tcW w:w="2706" w:type="dxa"/>
          </w:tcPr>
          <w:p w:rsidR="00DB4ED6" w:rsidRPr="008C3C90" w:rsidRDefault="00DB4ED6" w:rsidP="00F61E86">
            <w:pPr>
              <w:jc w:val="center"/>
              <w:rPr>
                <w:rFonts w:asciiTheme="majorHAnsi" w:hAnsiTheme="majorHAnsi" w:cs="Arial"/>
                <w:sz w:val="22"/>
                <w:szCs w:val="22"/>
              </w:rPr>
            </w:pPr>
            <w:r w:rsidRPr="008C3C90">
              <w:rPr>
                <w:rFonts w:asciiTheme="majorHAnsi" w:hAnsiTheme="majorHAnsi" w:cs="Arial"/>
                <w:noProof/>
                <w:sz w:val="22"/>
                <w:szCs w:val="22"/>
              </w:rPr>
              <w:drawing>
                <wp:inline distT="0" distB="0" distL="0" distR="0" wp14:anchorId="7B12C656" wp14:editId="1A4FC8E8">
                  <wp:extent cx="1562100" cy="561975"/>
                  <wp:effectExtent l="0" t="0" r="0" b="9525"/>
                  <wp:docPr id="2"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pic:cNvPicPr>
                            <a:picLocks noChangeAspect="1" noChangeArrowheads="1"/>
                          </pic:cNvPicPr>
                        </pic:nvPicPr>
                        <pic:blipFill>
                          <a:blip r:embed="rId5" cstate="print"/>
                          <a:srcRect/>
                          <a:stretch>
                            <a:fillRect/>
                          </a:stretch>
                        </pic:blipFill>
                        <pic:spPr bwMode="auto">
                          <a:xfrm>
                            <a:off x="0" y="0"/>
                            <a:ext cx="1562100" cy="561975"/>
                          </a:xfrm>
                          <a:prstGeom prst="rect">
                            <a:avLst/>
                          </a:prstGeom>
                          <a:noFill/>
                          <a:ln w="9525">
                            <a:noFill/>
                            <a:miter lim="800000"/>
                            <a:headEnd/>
                            <a:tailEnd/>
                          </a:ln>
                        </pic:spPr>
                      </pic:pic>
                    </a:graphicData>
                  </a:graphic>
                </wp:inline>
              </w:drawing>
            </w:r>
          </w:p>
        </w:tc>
        <w:tc>
          <w:tcPr>
            <w:tcW w:w="6696" w:type="dxa"/>
          </w:tcPr>
          <w:p w:rsidR="00DB4ED6" w:rsidRPr="00A175DB" w:rsidRDefault="00DB4ED6" w:rsidP="00A175DB">
            <w:pPr>
              <w:pStyle w:val="Heading1"/>
              <w:ind w:right="-279"/>
              <w:jc w:val="left"/>
              <w:rPr>
                <w:rFonts w:asciiTheme="majorHAnsi" w:hAnsiTheme="majorHAnsi" w:cs="Arial"/>
                <w:sz w:val="28"/>
                <w:szCs w:val="22"/>
                <w:u w:val="single"/>
              </w:rPr>
            </w:pPr>
            <w:r w:rsidRPr="00A175DB">
              <w:rPr>
                <w:rFonts w:asciiTheme="majorHAnsi" w:hAnsiTheme="majorHAnsi" w:cs="Arial"/>
                <w:sz w:val="28"/>
                <w:szCs w:val="22"/>
                <w:u w:val="single"/>
              </w:rPr>
              <w:t>Pakistan Telecommunication Company Limited</w:t>
            </w:r>
          </w:p>
          <w:p w:rsidR="00DB4ED6" w:rsidRPr="008C3C90" w:rsidRDefault="009E18A8" w:rsidP="00F61E86">
            <w:pPr>
              <w:pStyle w:val="Heading1"/>
              <w:ind w:right="-279"/>
              <w:rPr>
                <w:rFonts w:asciiTheme="majorHAnsi" w:hAnsiTheme="majorHAnsi" w:cs="Arial"/>
                <w:sz w:val="22"/>
                <w:szCs w:val="22"/>
                <w:u w:val="single"/>
              </w:rPr>
            </w:pPr>
            <w:r>
              <w:rPr>
                <w:rFonts w:asciiTheme="majorHAnsi" w:hAnsiTheme="majorHAnsi" w:cs="Arial"/>
                <w:sz w:val="22"/>
                <w:szCs w:val="22"/>
              </w:rPr>
              <w:t xml:space="preserve">                  </w:t>
            </w:r>
          </w:p>
          <w:p w:rsidR="00DB4ED6" w:rsidRPr="008C3C90" w:rsidRDefault="00DB4ED6" w:rsidP="00F61E86">
            <w:pPr>
              <w:pStyle w:val="Heading5"/>
              <w:tabs>
                <w:tab w:val="clear" w:pos="1269"/>
                <w:tab w:val="left" w:pos="922"/>
              </w:tabs>
              <w:ind w:right="-360"/>
              <w:jc w:val="center"/>
              <w:rPr>
                <w:rFonts w:asciiTheme="majorHAnsi" w:hAnsiTheme="majorHAnsi" w:cs="Arial"/>
                <w:sz w:val="22"/>
                <w:szCs w:val="22"/>
              </w:rPr>
            </w:pPr>
          </w:p>
        </w:tc>
      </w:tr>
    </w:tbl>
    <w:p w:rsidR="00DB4ED6" w:rsidRPr="009E18A8" w:rsidRDefault="00DB4ED6" w:rsidP="00BA7EFE">
      <w:pPr>
        <w:jc w:val="center"/>
        <w:rPr>
          <w:rFonts w:asciiTheme="majorHAnsi" w:hAnsiTheme="majorHAnsi"/>
          <w:b/>
          <w:sz w:val="28"/>
          <w:szCs w:val="20"/>
        </w:rPr>
      </w:pPr>
      <w:r w:rsidRPr="009E18A8">
        <w:rPr>
          <w:rFonts w:asciiTheme="majorHAnsi" w:hAnsiTheme="majorHAnsi"/>
          <w:b/>
          <w:sz w:val="28"/>
          <w:szCs w:val="20"/>
        </w:rPr>
        <w:t>TENDER NOTICE</w:t>
      </w:r>
    </w:p>
    <w:p w:rsidR="00DB4ED6" w:rsidRPr="008A5CC6" w:rsidRDefault="00DB4ED6" w:rsidP="00DB4ED6">
      <w:pPr>
        <w:pStyle w:val="Heading1"/>
        <w:rPr>
          <w:rFonts w:asciiTheme="majorHAnsi" w:hAnsiTheme="majorHAnsi"/>
          <w:b w:val="0"/>
          <w:sz w:val="2"/>
          <w:szCs w:val="20"/>
        </w:rPr>
      </w:pPr>
    </w:p>
    <w:p w:rsidR="0073406E" w:rsidRDefault="00456F12" w:rsidP="0008282E">
      <w:pPr>
        <w:jc w:val="center"/>
        <w:rPr>
          <w:rFonts w:asciiTheme="majorHAnsi" w:hAnsiTheme="majorHAnsi"/>
          <w:b/>
          <w:bCs/>
          <w:u w:val="single"/>
        </w:rPr>
      </w:pPr>
      <w:r w:rsidRPr="00456F12">
        <w:rPr>
          <w:rFonts w:asciiTheme="majorHAnsi" w:hAnsiTheme="majorHAnsi"/>
          <w:b/>
          <w:bCs/>
          <w:u w:val="single"/>
        </w:rPr>
        <w:t>NO. PROC.3-2/2/180219/2099</w:t>
      </w:r>
    </w:p>
    <w:p w:rsidR="00456F12" w:rsidRPr="0008282E" w:rsidRDefault="00456F12" w:rsidP="0008282E">
      <w:pPr>
        <w:jc w:val="center"/>
        <w:rPr>
          <w:rFonts w:asciiTheme="majorHAnsi" w:hAnsiTheme="majorHAnsi"/>
          <w:b/>
          <w:bCs/>
          <w:u w:val="single"/>
        </w:rPr>
      </w:pPr>
    </w:p>
    <w:p w:rsidR="0073406E" w:rsidRDefault="00456F12" w:rsidP="0073406E">
      <w:pPr>
        <w:jc w:val="center"/>
        <w:rPr>
          <w:rFonts w:asciiTheme="majorHAnsi" w:hAnsiTheme="majorHAnsi"/>
          <w:b/>
          <w:bCs/>
          <w:sz w:val="28"/>
        </w:rPr>
      </w:pPr>
      <w:r w:rsidRPr="00456F12">
        <w:rPr>
          <w:rFonts w:asciiTheme="majorHAnsi" w:hAnsiTheme="majorHAnsi"/>
          <w:b/>
          <w:bCs/>
          <w:sz w:val="28"/>
        </w:rPr>
        <w:t>SITC FOR DEVELOPMENT OF SECURITY OPERATIONS CENTER (SOC) FACILITY AT CDDT BUILDING, H-9, ISLAMABAD on Turnkey Basis</w:t>
      </w:r>
    </w:p>
    <w:p w:rsidR="00456F12" w:rsidRPr="00F61E86" w:rsidRDefault="00456F12" w:rsidP="0073406E">
      <w:pPr>
        <w:jc w:val="center"/>
        <w:rPr>
          <w:rFonts w:asciiTheme="majorHAnsi" w:hAnsiTheme="majorHAnsi"/>
          <w:b/>
          <w:bCs/>
          <w:sz w:val="28"/>
        </w:rPr>
      </w:pPr>
    </w:p>
    <w:p w:rsidR="00456F12" w:rsidRDefault="00456F12" w:rsidP="007318F7">
      <w:pPr>
        <w:jc w:val="both"/>
        <w:rPr>
          <w:rFonts w:asciiTheme="majorHAnsi" w:hAnsiTheme="majorHAnsi"/>
          <w:bCs/>
          <w:sz w:val="22"/>
          <w:szCs w:val="22"/>
        </w:rPr>
      </w:pPr>
      <w:r w:rsidRPr="00456F12">
        <w:rPr>
          <w:rFonts w:asciiTheme="majorHAnsi" w:hAnsiTheme="majorHAnsi"/>
          <w:bCs/>
          <w:sz w:val="22"/>
          <w:szCs w:val="22"/>
        </w:rPr>
        <w:t>Sealed bids are invited from manufacturers or their authorized firms/dealers on DDP-PKR basis (inclusive of all applicable taxes) for the (SITC FOR DEVELOPMENT OF SECURITY OPERATIONS CENTER (SOC) FACILITY AT CDDT BUILDING, H-9, ISLAMABAD on Turnkey Basis) in accordance with PTCL requirement</w:t>
      </w:r>
      <w:r>
        <w:rPr>
          <w:rFonts w:asciiTheme="majorHAnsi" w:hAnsiTheme="majorHAnsi"/>
          <w:bCs/>
          <w:sz w:val="22"/>
          <w:szCs w:val="22"/>
        </w:rPr>
        <w:t>s</w:t>
      </w:r>
      <w:r w:rsidRPr="00456F12">
        <w:rPr>
          <w:rFonts w:asciiTheme="majorHAnsi" w:hAnsiTheme="majorHAnsi"/>
          <w:bCs/>
          <w:sz w:val="22"/>
          <w:szCs w:val="22"/>
        </w:rPr>
        <w:t>/</w:t>
      </w:r>
      <w:r>
        <w:rPr>
          <w:rFonts w:asciiTheme="majorHAnsi" w:hAnsiTheme="majorHAnsi"/>
          <w:bCs/>
          <w:sz w:val="22"/>
          <w:szCs w:val="22"/>
        </w:rPr>
        <w:t>t</w:t>
      </w:r>
      <w:r w:rsidRPr="00456F12">
        <w:rPr>
          <w:rFonts w:asciiTheme="majorHAnsi" w:hAnsiTheme="majorHAnsi"/>
          <w:bCs/>
          <w:sz w:val="22"/>
          <w:szCs w:val="22"/>
        </w:rPr>
        <w:t xml:space="preserve">echnical </w:t>
      </w:r>
      <w:r>
        <w:rPr>
          <w:rFonts w:asciiTheme="majorHAnsi" w:hAnsiTheme="majorHAnsi"/>
          <w:bCs/>
          <w:sz w:val="22"/>
          <w:szCs w:val="22"/>
        </w:rPr>
        <w:t>s</w:t>
      </w:r>
      <w:r w:rsidRPr="00456F12">
        <w:rPr>
          <w:rFonts w:asciiTheme="majorHAnsi" w:hAnsiTheme="majorHAnsi"/>
          <w:bCs/>
          <w:sz w:val="22"/>
          <w:szCs w:val="22"/>
        </w:rPr>
        <w:t xml:space="preserve">pecifications. </w:t>
      </w:r>
    </w:p>
    <w:p w:rsidR="0073406E" w:rsidRPr="00456F12" w:rsidRDefault="00456F12" w:rsidP="00456F12">
      <w:pPr>
        <w:pStyle w:val="ListParagraph"/>
        <w:numPr>
          <w:ilvl w:val="0"/>
          <w:numId w:val="3"/>
        </w:numPr>
        <w:jc w:val="both"/>
        <w:rPr>
          <w:rFonts w:asciiTheme="majorHAnsi" w:hAnsiTheme="majorHAnsi"/>
          <w:bCs/>
        </w:rPr>
      </w:pPr>
      <w:r w:rsidRPr="00456F12">
        <w:rPr>
          <w:rFonts w:asciiTheme="majorHAnsi" w:hAnsiTheme="majorHAnsi"/>
          <w:bCs/>
          <w:sz w:val="22"/>
          <w:szCs w:val="22"/>
        </w:rPr>
        <w:t xml:space="preserve">Tender documents can be purchased from undersigned on payment of </w:t>
      </w:r>
      <w:r w:rsidRPr="00456F12">
        <w:rPr>
          <w:rFonts w:asciiTheme="majorHAnsi" w:hAnsiTheme="majorHAnsi"/>
          <w:b/>
          <w:bCs/>
          <w:sz w:val="22"/>
          <w:szCs w:val="22"/>
        </w:rPr>
        <w:t>Rs 2,500/-</w:t>
      </w:r>
      <w:r w:rsidRPr="00456F12">
        <w:rPr>
          <w:rFonts w:asciiTheme="majorHAnsi" w:hAnsiTheme="majorHAnsi"/>
          <w:bCs/>
          <w:sz w:val="22"/>
          <w:szCs w:val="22"/>
        </w:rPr>
        <w:t xml:space="preserve"> (non-refundable) through Demand Draft/Pay Order in </w:t>
      </w:r>
      <w:proofErr w:type="spellStart"/>
      <w:r w:rsidRPr="00456F12">
        <w:rPr>
          <w:rFonts w:asciiTheme="majorHAnsi" w:hAnsiTheme="majorHAnsi"/>
          <w:bCs/>
          <w:sz w:val="22"/>
          <w:szCs w:val="22"/>
        </w:rPr>
        <w:t>favo</w:t>
      </w:r>
      <w:r>
        <w:rPr>
          <w:rFonts w:asciiTheme="majorHAnsi" w:hAnsiTheme="majorHAnsi"/>
          <w:bCs/>
          <w:sz w:val="22"/>
          <w:szCs w:val="22"/>
        </w:rPr>
        <w:t>u</w:t>
      </w:r>
      <w:r w:rsidRPr="00456F12">
        <w:rPr>
          <w:rFonts w:asciiTheme="majorHAnsi" w:hAnsiTheme="majorHAnsi"/>
          <w:bCs/>
          <w:sz w:val="22"/>
          <w:szCs w:val="22"/>
        </w:rPr>
        <w:t>r</w:t>
      </w:r>
      <w:proofErr w:type="spellEnd"/>
      <w:r w:rsidRPr="00456F12">
        <w:rPr>
          <w:rFonts w:asciiTheme="majorHAnsi" w:hAnsiTheme="majorHAnsi"/>
          <w:bCs/>
          <w:sz w:val="22"/>
          <w:szCs w:val="22"/>
        </w:rPr>
        <w:t xml:space="preserve"> of Pakistan Telecommunication Company Limited, H/Qs G-8/4 - Islamabad, accompanied by an official request for provisioning of Tender Documents, printed over Company letterhead having entire necessary contact details, duly signed and stamped by the competent authority, clearly mentioning the RFP/RFQ No. and its Title along with essential details of the enclosed Demand Draft/Pay Order i.e. issuing bank, DD/PO No and date et</w:t>
      </w:r>
    </w:p>
    <w:p w:rsidR="0073406E" w:rsidRPr="007318F7" w:rsidRDefault="00456F12" w:rsidP="00456F12">
      <w:pPr>
        <w:pStyle w:val="ListParagraph"/>
        <w:numPr>
          <w:ilvl w:val="0"/>
          <w:numId w:val="3"/>
        </w:numPr>
        <w:jc w:val="both"/>
        <w:rPr>
          <w:rFonts w:asciiTheme="majorHAnsi" w:hAnsiTheme="majorHAnsi"/>
          <w:bCs/>
          <w:sz w:val="22"/>
          <w:szCs w:val="22"/>
        </w:rPr>
      </w:pPr>
      <w:r w:rsidRPr="00456F12">
        <w:rPr>
          <w:rFonts w:asciiTheme="majorHAnsi" w:hAnsiTheme="majorHAnsi"/>
          <w:bCs/>
          <w:sz w:val="22"/>
          <w:szCs w:val="22"/>
        </w:rPr>
        <w:t xml:space="preserve">Bids marked as </w:t>
      </w:r>
      <w:r w:rsidRPr="00456F12">
        <w:rPr>
          <w:rFonts w:asciiTheme="majorHAnsi" w:hAnsiTheme="majorHAnsi"/>
          <w:b/>
          <w:bCs/>
          <w:sz w:val="22"/>
          <w:szCs w:val="22"/>
        </w:rPr>
        <w:t>“</w:t>
      </w:r>
      <w:bookmarkStart w:id="0" w:name="_GoBack"/>
      <w:r w:rsidRPr="00456F12">
        <w:rPr>
          <w:rFonts w:asciiTheme="majorHAnsi" w:hAnsiTheme="majorHAnsi"/>
          <w:b/>
          <w:bCs/>
          <w:sz w:val="22"/>
          <w:szCs w:val="22"/>
        </w:rPr>
        <w:t>SITC for Development of Security Operations Center (SOC) Facility at CDDT Building, H-9, Islamabad on Turnkey Basis</w:t>
      </w:r>
      <w:bookmarkEnd w:id="0"/>
      <w:r w:rsidRPr="00456F12">
        <w:rPr>
          <w:rFonts w:asciiTheme="majorHAnsi" w:hAnsiTheme="majorHAnsi"/>
          <w:b/>
          <w:bCs/>
          <w:sz w:val="22"/>
          <w:szCs w:val="22"/>
        </w:rPr>
        <w:t>”, RFP # PROC.3-2/2/180219/2099</w:t>
      </w:r>
      <w:r w:rsidRPr="00456F12">
        <w:rPr>
          <w:rFonts w:asciiTheme="majorHAnsi" w:hAnsiTheme="majorHAnsi"/>
          <w:bCs/>
          <w:sz w:val="22"/>
          <w:szCs w:val="22"/>
        </w:rPr>
        <w:t xml:space="preserve"> complete in all aspects and as per procedures laid down in the RFP shall be submitted to the undersigned by </w:t>
      </w:r>
      <w:r w:rsidRPr="00456F12">
        <w:rPr>
          <w:rFonts w:asciiTheme="majorHAnsi" w:hAnsiTheme="majorHAnsi"/>
          <w:b/>
          <w:bCs/>
          <w:sz w:val="22"/>
          <w:szCs w:val="22"/>
        </w:rPr>
        <w:t>11-03-2019</w:t>
      </w:r>
      <w:r w:rsidRPr="00456F12">
        <w:rPr>
          <w:rFonts w:asciiTheme="majorHAnsi" w:hAnsiTheme="majorHAnsi"/>
          <w:bCs/>
          <w:sz w:val="22"/>
          <w:szCs w:val="22"/>
        </w:rPr>
        <w:t xml:space="preserve"> before </w:t>
      </w:r>
      <w:r w:rsidRPr="00456F12">
        <w:rPr>
          <w:rFonts w:asciiTheme="majorHAnsi" w:hAnsiTheme="majorHAnsi"/>
          <w:b/>
          <w:bCs/>
          <w:sz w:val="22"/>
          <w:szCs w:val="22"/>
        </w:rPr>
        <w:t>1200 hours</w:t>
      </w:r>
      <w:r>
        <w:rPr>
          <w:rFonts w:asciiTheme="majorHAnsi" w:hAnsiTheme="majorHAnsi"/>
          <w:b/>
          <w:bCs/>
          <w:sz w:val="22"/>
          <w:szCs w:val="22"/>
        </w:rPr>
        <w:t>.</w:t>
      </w:r>
    </w:p>
    <w:p w:rsidR="00FA36E1" w:rsidRPr="00456F12" w:rsidRDefault="00456F12" w:rsidP="00456F12">
      <w:pPr>
        <w:pStyle w:val="ListParagraph"/>
        <w:numPr>
          <w:ilvl w:val="0"/>
          <w:numId w:val="3"/>
        </w:numPr>
        <w:jc w:val="both"/>
        <w:rPr>
          <w:rFonts w:asciiTheme="majorHAnsi" w:hAnsiTheme="majorHAnsi"/>
          <w:bCs/>
          <w:sz w:val="22"/>
          <w:szCs w:val="22"/>
        </w:rPr>
      </w:pPr>
      <w:r w:rsidRPr="00456F12">
        <w:rPr>
          <w:rFonts w:asciiTheme="majorHAnsi" w:hAnsiTheme="majorHAnsi"/>
          <w:bCs/>
          <w:sz w:val="22"/>
          <w:szCs w:val="22"/>
        </w:rPr>
        <w:t xml:space="preserve">Bids shall be accompanied by a Bank Guarantee (as bid security) in the name of Pakistan Telecommunication Company Limited – HQ, Islamabad amounting to </w:t>
      </w:r>
      <w:r w:rsidRPr="00456F12">
        <w:rPr>
          <w:rFonts w:asciiTheme="majorHAnsi" w:hAnsiTheme="majorHAnsi"/>
          <w:b/>
          <w:bCs/>
          <w:sz w:val="22"/>
          <w:szCs w:val="22"/>
        </w:rPr>
        <w:t>02%</w:t>
      </w:r>
      <w:r w:rsidRPr="00456F12">
        <w:rPr>
          <w:rFonts w:asciiTheme="majorHAnsi" w:hAnsiTheme="majorHAnsi"/>
          <w:bCs/>
          <w:sz w:val="22"/>
          <w:szCs w:val="22"/>
        </w:rPr>
        <w:t xml:space="preserve"> of the bid value, valid for a period of </w:t>
      </w:r>
      <w:r w:rsidRPr="00456F12">
        <w:rPr>
          <w:rFonts w:asciiTheme="majorHAnsi" w:hAnsiTheme="majorHAnsi"/>
          <w:b/>
          <w:bCs/>
          <w:sz w:val="22"/>
          <w:szCs w:val="22"/>
        </w:rPr>
        <w:t>(06)</w:t>
      </w:r>
      <w:r w:rsidRPr="00456F12">
        <w:rPr>
          <w:rFonts w:asciiTheme="majorHAnsi" w:hAnsiTheme="majorHAnsi"/>
          <w:bCs/>
          <w:sz w:val="22"/>
          <w:szCs w:val="22"/>
        </w:rPr>
        <w:t xml:space="preserve"> </w:t>
      </w:r>
      <w:r>
        <w:rPr>
          <w:rFonts w:asciiTheme="majorHAnsi" w:hAnsiTheme="majorHAnsi"/>
          <w:bCs/>
          <w:sz w:val="22"/>
          <w:szCs w:val="22"/>
        </w:rPr>
        <w:t>m</w:t>
      </w:r>
      <w:r w:rsidRPr="00456F12">
        <w:rPr>
          <w:rFonts w:asciiTheme="majorHAnsi" w:hAnsiTheme="majorHAnsi"/>
          <w:bCs/>
          <w:sz w:val="22"/>
          <w:szCs w:val="22"/>
        </w:rPr>
        <w:t xml:space="preserve">onths from the date of its issuance, issued by a first class/scheduled bank located in Pakistan. </w:t>
      </w:r>
      <w:r w:rsidRPr="00456F12">
        <w:rPr>
          <w:rFonts w:asciiTheme="majorHAnsi" w:hAnsiTheme="majorHAnsi"/>
          <w:b/>
          <w:bCs/>
          <w:sz w:val="22"/>
          <w:szCs w:val="22"/>
        </w:rPr>
        <w:t>In case of non-compliance, the bids will be disqualified from further processing</w:t>
      </w:r>
    </w:p>
    <w:p w:rsidR="00091B9E" w:rsidRPr="00456F12" w:rsidRDefault="00FA36E1" w:rsidP="00456F12">
      <w:pPr>
        <w:pStyle w:val="ListParagraph"/>
        <w:numPr>
          <w:ilvl w:val="0"/>
          <w:numId w:val="3"/>
        </w:numPr>
        <w:rPr>
          <w:rFonts w:asciiTheme="majorHAnsi" w:hAnsiTheme="majorHAnsi"/>
          <w:bCs/>
          <w:sz w:val="22"/>
          <w:szCs w:val="22"/>
        </w:rPr>
      </w:pPr>
      <w:r w:rsidRPr="00FA36E1">
        <w:rPr>
          <w:rFonts w:asciiTheme="majorHAnsi" w:hAnsiTheme="majorHAnsi"/>
          <w:bCs/>
          <w:sz w:val="22"/>
          <w:szCs w:val="22"/>
        </w:rPr>
        <w:t xml:space="preserve">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 </w:t>
      </w:r>
      <w:hyperlink r:id="rId6" w:history="1">
        <w:r w:rsidRPr="00FA36E1">
          <w:rPr>
            <w:rStyle w:val="Hyperlink"/>
            <w:rFonts w:asciiTheme="majorHAnsi" w:hAnsiTheme="majorHAnsi"/>
            <w:bCs/>
            <w:sz w:val="22"/>
            <w:szCs w:val="22"/>
          </w:rPr>
          <w:t>https://ptcl.com.pk/Info/Vendor-Registration-Form</w:t>
        </w:r>
      </w:hyperlink>
    </w:p>
    <w:p w:rsidR="007318F7" w:rsidRPr="00456F12" w:rsidRDefault="00F61E86" w:rsidP="00456F12">
      <w:pPr>
        <w:pStyle w:val="ListParagraph"/>
        <w:numPr>
          <w:ilvl w:val="0"/>
          <w:numId w:val="3"/>
        </w:numPr>
        <w:jc w:val="both"/>
        <w:rPr>
          <w:rFonts w:asciiTheme="majorHAnsi" w:hAnsiTheme="majorHAnsi"/>
          <w:bCs/>
          <w:sz w:val="22"/>
          <w:szCs w:val="22"/>
        </w:rPr>
      </w:pPr>
      <w:r w:rsidRPr="007318F7">
        <w:rPr>
          <w:rFonts w:asciiTheme="majorHAnsi" w:hAnsiTheme="majorHAnsi"/>
          <w:bCs/>
          <w:sz w:val="22"/>
          <w:szCs w:val="22"/>
        </w:rPr>
        <w:t>PTCL reserves the right to reject any or all bids and to annul the bidding process at any time, without thereby incurring any liability to the affected bidder(s) or any obligations to inform the affected bidder (s) of the grounds for PTCL</w:t>
      </w:r>
      <w:r w:rsidR="007318F7" w:rsidRPr="007318F7">
        <w:rPr>
          <w:rFonts w:asciiTheme="majorHAnsi" w:hAnsiTheme="majorHAnsi"/>
          <w:bCs/>
          <w:sz w:val="22"/>
          <w:szCs w:val="22"/>
        </w:rPr>
        <w:t>’s</w:t>
      </w:r>
      <w:r w:rsidRPr="007318F7">
        <w:rPr>
          <w:rFonts w:asciiTheme="majorHAnsi" w:hAnsiTheme="majorHAnsi"/>
          <w:bCs/>
          <w:sz w:val="22"/>
          <w:szCs w:val="22"/>
        </w:rPr>
        <w:t xml:space="preserve"> Action. </w:t>
      </w:r>
    </w:p>
    <w:p w:rsidR="00DB4ED6" w:rsidRPr="007318F7" w:rsidRDefault="00F61E86" w:rsidP="00091B9E">
      <w:pPr>
        <w:pStyle w:val="ListParagraph"/>
        <w:numPr>
          <w:ilvl w:val="0"/>
          <w:numId w:val="3"/>
        </w:numPr>
        <w:jc w:val="both"/>
        <w:rPr>
          <w:rFonts w:asciiTheme="majorHAnsi" w:hAnsiTheme="majorHAnsi"/>
          <w:bCs/>
          <w:sz w:val="16"/>
        </w:rPr>
      </w:pPr>
      <w:r w:rsidRPr="007318F7">
        <w:rPr>
          <w:rFonts w:asciiTheme="majorHAnsi" w:hAnsiTheme="majorHAnsi"/>
          <w:bCs/>
          <w:sz w:val="22"/>
          <w:szCs w:val="22"/>
        </w:rPr>
        <w:t>All correspondence on the subject may be addressed to the undersigned.</w:t>
      </w:r>
      <w:r w:rsidRPr="007318F7">
        <w:rPr>
          <w:rFonts w:asciiTheme="majorHAnsi" w:hAnsiTheme="majorHAnsi"/>
          <w:bCs/>
        </w:rPr>
        <w:t xml:space="preserve"> </w:t>
      </w:r>
    </w:p>
    <w:p w:rsidR="00DB4ED6" w:rsidRPr="008A5CC6" w:rsidRDefault="00DB4ED6" w:rsidP="00DB4ED6">
      <w:pPr>
        <w:jc w:val="center"/>
        <w:rPr>
          <w:rFonts w:asciiTheme="majorHAnsi" w:hAnsiTheme="majorHAnsi"/>
          <w:b/>
          <w:sz w:val="20"/>
          <w:szCs w:val="20"/>
        </w:rPr>
      </w:pPr>
    </w:p>
    <w:p w:rsidR="00456F12" w:rsidRPr="00456F12" w:rsidRDefault="00456F12" w:rsidP="00456F12">
      <w:pPr>
        <w:ind w:left="360"/>
        <w:rPr>
          <w:rFonts w:asciiTheme="majorHAnsi" w:hAnsiTheme="majorHAnsi"/>
          <w:b/>
          <w:sz w:val="28"/>
          <w:szCs w:val="20"/>
        </w:rPr>
      </w:pPr>
      <w:r w:rsidRPr="00456F12">
        <w:rPr>
          <w:rFonts w:asciiTheme="majorHAnsi" w:hAnsiTheme="majorHAnsi"/>
          <w:b/>
          <w:sz w:val="28"/>
          <w:szCs w:val="20"/>
        </w:rPr>
        <w:t xml:space="preserve">S.M Procurement </w:t>
      </w:r>
    </w:p>
    <w:p w:rsidR="00456F12" w:rsidRDefault="00456F12" w:rsidP="00456F12">
      <w:pPr>
        <w:ind w:left="360"/>
        <w:rPr>
          <w:rFonts w:asciiTheme="majorHAnsi" w:hAnsiTheme="majorHAnsi"/>
          <w:b/>
          <w:szCs w:val="20"/>
        </w:rPr>
      </w:pPr>
      <w:r w:rsidRPr="00456F12">
        <w:rPr>
          <w:rFonts w:asciiTheme="majorHAnsi" w:hAnsiTheme="majorHAnsi"/>
          <w:b/>
          <w:szCs w:val="20"/>
        </w:rPr>
        <w:t xml:space="preserve">(Business Support) </w:t>
      </w:r>
    </w:p>
    <w:p w:rsidR="00456F12" w:rsidRPr="00456F12" w:rsidRDefault="00456F12" w:rsidP="00456F12">
      <w:pPr>
        <w:ind w:left="360"/>
        <w:rPr>
          <w:rFonts w:asciiTheme="majorHAnsi" w:hAnsiTheme="majorHAnsi"/>
          <w:szCs w:val="20"/>
        </w:rPr>
      </w:pPr>
      <w:r w:rsidRPr="00456F12">
        <w:rPr>
          <w:rFonts w:asciiTheme="majorHAnsi" w:hAnsiTheme="majorHAnsi"/>
          <w:szCs w:val="20"/>
        </w:rPr>
        <w:t xml:space="preserve">Room # 10, 4th Floor, Old Building </w:t>
      </w:r>
    </w:p>
    <w:p w:rsidR="00456F12" w:rsidRPr="00456F12" w:rsidRDefault="00456F12" w:rsidP="00456F12">
      <w:pPr>
        <w:ind w:left="360"/>
        <w:rPr>
          <w:rFonts w:asciiTheme="majorHAnsi" w:hAnsiTheme="majorHAnsi"/>
          <w:szCs w:val="20"/>
        </w:rPr>
      </w:pPr>
      <w:r w:rsidRPr="00456F12">
        <w:rPr>
          <w:rFonts w:asciiTheme="majorHAnsi" w:hAnsiTheme="majorHAnsi"/>
          <w:szCs w:val="20"/>
        </w:rPr>
        <w:t xml:space="preserve">PTCL Headquarters, G-8/4, Islamabad </w:t>
      </w:r>
    </w:p>
    <w:p w:rsidR="00456F12" w:rsidRPr="00456F12" w:rsidRDefault="00456F12" w:rsidP="00456F12">
      <w:pPr>
        <w:ind w:left="360"/>
        <w:rPr>
          <w:rFonts w:asciiTheme="majorHAnsi" w:hAnsiTheme="majorHAnsi"/>
          <w:szCs w:val="20"/>
        </w:rPr>
      </w:pPr>
      <w:r w:rsidRPr="00456F12">
        <w:rPr>
          <w:rFonts w:asciiTheme="majorHAnsi" w:hAnsiTheme="majorHAnsi"/>
          <w:szCs w:val="20"/>
        </w:rPr>
        <w:t xml:space="preserve">Phone: 051-2283056 </w:t>
      </w:r>
    </w:p>
    <w:p w:rsidR="00F61E86" w:rsidRPr="00456F12" w:rsidRDefault="00456F12" w:rsidP="00456F12">
      <w:pPr>
        <w:ind w:left="360"/>
        <w:rPr>
          <w:rFonts w:asciiTheme="majorHAnsi" w:hAnsiTheme="majorHAnsi"/>
          <w:szCs w:val="20"/>
        </w:rPr>
      </w:pPr>
      <w:r w:rsidRPr="00456F12">
        <w:rPr>
          <w:rFonts w:asciiTheme="majorHAnsi" w:hAnsiTheme="majorHAnsi"/>
          <w:szCs w:val="20"/>
        </w:rPr>
        <w:t xml:space="preserve">Email: syed.mohsin@ptcl.net.pk   </w:t>
      </w:r>
    </w:p>
    <w:sectPr w:rsidR="00F61E86" w:rsidRPr="00456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A23C6"/>
    <w:multiLevelType w:val="hybridMultilevel"/>
    <w:tmpl w:val="1F045442"/>
    <w:lvl w:ilvl="0" w:tplc="EFF65B78">
      <w:start w:val="1"/>
      <w:numFmt w:val="decimal"/>
      <w:lvlText w:val="%1."/>
      <w:lvlJc w:val="left"/>
      <w:pPr>
        <w:ind w:left="360" w:hanging="360"/>
      </w:pPr>
      <w:rPr>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600DED"/>
    <w:multiLevelType w:val="hybridMultilevel"/>
    <w:tmpl w:val="49301620"/>
    <w:lvl w:ilvl="0" w:tplc="1828105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FE7858"/>
    <w:multiLevelType w:val="multilevel"/>
    <w:tmpl w:val="C6869ABA"/>
    <w:lvl w:ilvl="0">
      <w:start w:val="1"/>
      <w:numFmt w:val="decimal"/>
      <w:lvlText w:val="%1."/>
      <w:lvlJc w:val="left"/>
      <w:pPr>
        <w:ind w:left="720" w:hanging="360"/>
      </w:pPr>
      <w:rPr>
        <w:rFonts w:hint="default"/>
        <w:sz w:val="24"/>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ED6"/>
    <w:rsid w:val="0008282E"/>
    <w:rsid w:val="00091B9E"/>
    <w:rsid w:val="000F02C7"/>
    <w:rsid w:val="002172CB"/>
    <w:rsid w:val="00324D20"/>
    <w:rsid w:val="00456F12"/>
    <w:rsid w:val="005434D8"/>
    <w:rsid w:val="006A3034"/>
    <w:rsid w:val="006F03E8"/>
    <w:rsid w:val="00726342"/>
    <w:rsid w:val="007318F7"/>
    <w:rsid w:val="0073406E"/>
    <w:rsid w:val="007D3184"/>
    <w:rsid w:val="009D5FAE"/>
    <w:rsid w:val="009E18A8"/>
    <w:rsid w:val="00A175DB"/>
    <w:rsid w:val="00A42635"/>
    <w:rsid w:val="00BA7EFE"/>
    <w:rsid w:val="00BD21E2"/>
    <w:rsid w:val="00C63342"/>
    <w:rsid w:val="00D577B3"/>
    <w:rsid w:val="00DA11CD"/>
    <w:rsid w:val="00DB4ED6"/>
    <w:rsid w:val="00E77EAD"/>
    <w:rsid w:val="00F379CF"/>
    <w:rsid w:val="00F61E86"/>
    <w:rsid w:val="00FA36E1"/>
    <w:rsid w:val="00FA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B6CA"/>
  <w15:chartTrackingRefBased/>
  <w15:docId w15:val="{FCD5EE11-57FC-4992-921F-185275D6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E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4ED6"/>
    <w:pPr>
      <w:keepNext/>
      <w:widowControl w:val="0"/>
      <w:tabs>
        <w:tab w:val="left" w:pos="2108"/>
      </w:tabs>
      <w:autoSpaceDE w:val="0"/>
      <w:autoSpaceDN w:val="0"/>
      <w:adjustRightInd w:val="0"/>
      <w:jc w:val="center"/>
      <w:outlineLvl w:val="0"/>
    </w:pPr>
    <w:rPr>
      <w:b/>
      <w:bCs/>
    </w:rPr>
  </w:style>
  <w:style w:type="paragraph" w:styleId="Heading3">
    <w:name w:val="heading 3"/>
    <w:basedOn w:val="Normal"/>
    <w:next w:val="Normal"/>
    <w:link w:val="Heading3Char"/>
    <w:qFormat/>
    <w:rsid w:val="00DB4ED6"/>
    <w:pPr>
      <w:keepNext/>
      <w:widowControl w:val="0"/>
      <w:autoSpaceDE w:val="0"/>
      <w:autoSpaceDN w:val="0"/>
      <w:adjustRightInd w:val="0"/>
      <w:spacing w:line="198" w:lineRule="exact"/>
      <w:outlineLvl w:val="2"/>
    </w:pPr>
    <w:rPr>
      <w:b/>
      <w:sz w:val="18"/>
    </w:rPr>
  </w:style>
  <w:style w:type="paragraph" w:styleId="Heading5">
    <w:name w:val="heading 5"/>
    <w:basedOn w:val="Normal"/>
    <w:next w:val="Normal"/>
    <w:link w:val="Heading5Char"/>
    <w:qFormat/>
    <w:rsid w:val="00DB4ED6"/>
    <w:pPr>
      <w:keepNext/>
      <w:widowControl w:val="0"/>
      <w:tabs>
        <w:tab w:val="left" w:pos="1269"/>
        <w:tab w:val="left" w:pos="5799"/>
      </w:tabs>
      <w:autoSpaceDE w:val="0"/>
      <w:autoSpaceDN w:val="0"/>
      <w:adjustRightInd w:val="0"/>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4ED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B4ED6"/>
    <w:rPr>
      <w:rFonts w:ascii="Times New Roman" w:eastAsia="Times New Roman" w:hAnsi="Times New Roman" w:cs="Times New Roman"/>
      <w:b/>
      <w:sz w:val="18"/>
      <w:szCs w:val="24"/>
    </w:rPr>
  </w:style>
  <w:style w:type="character" w:customStyle="1" w:styleId="Heading5Char">
    <w:name w:val="Heading 5 Char"/>
    <w:basedOn w:val="DefaultParagraphFont"/>
    <w:link w:val="Heading5"/>
    <w:rsid w:val="00DB4ED6"/>
    <w:rPr>
      <w:rFonts w:ascii="Times New Roman" w:eastAsia="Times New Roman" w:hAnsi="Times New Roman" w:cs="Times New Roman"/>
      <w:sz w:val="28"/>
      <w:szCs w:val="24"/>
    </w:rPr>
  </w:style>
  <w:style w:type="paragraph" w:styleId="BodyText3">
    <w:name w:val="Body Text 3"/>
    <w:basedOn w:val="Normal"/>
    <w:link w:val="BodyText3Char"/>
    <w:rsid w:val="00DB4ED6"/>
    <w:pPr>
      <w:widowControl w:val="0"/>
      <w:tabs>
        <w:tab w:val="decimal" w:pos="900"/>
        <w:tab w:val="left" w:pos="2052"/>
      </w:tabs>
      <w:autoSpaceDE w:val="0"/>
      <w:autoSpaceDN w:val="0"/>
      <w:adjustRightInd w:val="0"/>
      <w:spacing w:line="238" w:lineRule="exact"/>
    </w:pPr>
    <w:rPr>
      <w:sz w:val="20"/>
    </w:rPr>
  </w:style>
  <w:style w:type="character" w:customStyle="1" w:styleId="BodyText3Char">
    <w:name w:val="Body Text 3 Char"/>
    <w:basedOn w:val="DefaultParagraphFont"/>
    <w:link w:val="BodyText3"/>
    <w:rsid w:val="00DB4ED6"/>
    <w:rPr>
      <w:rFonts w:ascii="Times New Roman" w:eastAsia="Times New Roman" w:hAnsi="Times New Roman" w:cs="Times New Roman"/>
      <w:sz w:val="20"/>
      <w:szCs w:val="24"/>
    </w:rPr>
  </w:style>
  <w:style w:type="paragraph" w:styleId="BodyText">
    <w:name w:val="Body Text"/>
    <w:basedOn w:val="Normal"/>
    <w:link w:val="BodyTextChar"/>
    <w:rsid w:val="00DB4ED6"/>
    <w:pPr>
      <w:widowControl w:val="0"/>
      <w:tabs>
        <w:tab w:val="left" w:pos="3259"/>
      </w:tabs>
      <w:autoSpaceDE w:val="0"/>
      <w:autoSpaceDN w:val="0"/>
      <w:adjustRightInd w:val="0"/>
      <w:spacing w:line="402" w:lineRule="exact"/>
    </w:pPr>
    <w:rPr>
      <w:sz w:val="18"/>
    </w:rPr>
  </w:style>
  <w:style w:type="character" w:customStyle="1" w:styleId="BodyTextChar">
    <w:name w:val="Body Text Char"/>
    <w:basedOn w:val="DefaultParagraphFont"/>
    <w:link w:val="BodyText"/>
    <w:rsid w:val="00DB4ED6"/>
    <w:rPr>
      <w:rFonts w:ascii="Times New Roman" w:eastAsia="Times New Roman" w:hAnsi="Times New Roman" w:cs="Times New Roman"/>
      <w:sz w:val="18"/>
      <w:szCs w:val="24"/>
    </w:rPr>
  </w:style>
  <w:style w:type="character" w:styleId="Hyperlink">
    <w:name w:val="Hyperlink"/>
    <w:basedOn w:val="DefaultParagraphFont"/>
    <w:rsid w:val="00DB4ED6"/>
    <w:rPr>
      <w:color w:val="0000FF"/>
      <w:u w:val="single"/>
    </w:rPr>
  </w:style>
  <w:style w:type="paragraph" w:styleId="ListParagraph">
    <w:name w:val="List Paragraph"/>
    <w:aliases w:val="lp1,List Paragraph1,List Paragraph11,Use Case List Paragraph Char,EOH bullet,Use Case List Paragraph,List Paragraph 1,EOH paragraph,Figure_name"/>
    <w:basedOn w:val="Normal"/>
    <w:link w:val="ListParagraphChar"/>
    <w:uiPriority w:val="34"/>
    <w:qFormat/>
    <w:rsid w:val="00DB4ED6"/>
    <w:pPr>
      <w:ind w:left="720"/>
    </w:pPr>
  </w:style>
  <w:style w:type="character" w:customStyle="1" w:styleId="ListParagraphChar">
    <w:name w:val="List Paragraph Char"/>
    <w:aliases w:val="lp1 Char,List Paragraph1 Char,List Paragraph11 Char,Use Case List Paragraph Char Char,EOH bullet Char,Use Case List Paragraph Char1,List Paragraph 1 Char,EOH paragraph Char,Figure_name Char"/>
    <w:basedOn w:val="DefaultParagraphFont"/>
    <w:link w:val="ListParagraph"/>
    <w:uiPriority w:val="34"/>
    <w:locked/>
    <w:rsid w:val="00DB4ED6"/>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318F7"/>
    <w:rPr>
      <w:color w:val="605E5C"/>
      <w:shd w:val="clear" w:color="auto" w:fill="E1DFDD"/>
    </w:rPr>
  </w:style>
  <w:style w:type="paragraph" w:styleId="BodyTextIndent2">
    <w:name w:val="Body Text Indent 2"/>
    <w:basedOn w:val="Normal"/>
    <w:link w:val="BodyTextIndent2Char"/>
    <w:uiPriority w:val="99"/>
    <w:semiHidden/>
    <w:unhideWhenUsed/>
    <w:rsid w:val="0008282E"/>
    <w:pPr>
      <w:spacing w:after="120" w:line="480" w:lineRule="auto"/>
      <w:ind w:left="360"/>
    </w:pPr>
  </w:style>
  <w:style w:type="character" w:customStyle="1" w:styleId="BodyTextIndent2Char">
    <w:name w:val="Body Text Indent 2 Char"/>
    <w:basedOn w:val="DefaultParagraphFont"/>
    <w:link w:val="BodyTextIndent2"/>
    <w:uiPriority w:val="99"/>
    <w:semiHidden/>
    <w:rsid w:val="000828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tcl.com.pk/Info/Vendor-Registration-For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Tanvir Ahmad/Manager (Supply Chain)/PTCL</dc:creator>
  <cp:keywords/>
  <dc:description/>
  <cp:lastModifiedBy>Hassan Amar/Management Trainee/PTCL</cp:lastModifiedBy>
  <cp:revision>2</cp:revision>
  <dcterms:created xsi:type="dcterms:W3CDTF">2019-02-28T15:38:00Z</dcterms:created>
  <dcterms:modified xsi:type="dcterms:W3CDTF">2019-02-28T15:38:00Z</dcterms:modified>
</cp:coreProperties>
</file>