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706"/>
        <w:gridCol w:w="6696"/>
      </w:tblGrid>
      <w:tr w:rsidR="00DB4ED6" w:rsidRPr="008C3C90" w:rsidTr="00F61E86">
        <w:trPr>
          <w:trHeight w:val="1026"/>
          <w:jc w:val="center"/>
        </w:trPr>
        <w:tc>
          <w:tcPr>
            <w:tcW w:w="2706" w:type="dxa"/>
          </w:tcPr>
          <w:p w:rsidR="00DB4ED6" w:rsidRPr="008C3C90" w:rsidRDefault="00DB4ED6" w:rsidP="00F61E86">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A175DB">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F61E86">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F61E86">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A45C7A" w:rsidRDefault="00A45C7A" w:rsidP="00A45C7A">
      <w:pPr>
        <w:jc w:val="center"/>
        <w:rPr>
          <w:rFonts w:asciiTheme="majorHAnsi" w:hAnsiTheme="majorHAnsi"/>
          <w:b/>
          <w:bCs/>
          <w:u w:val="single"/>
        </w:rPr>
      </w:pPr>
      <w:r w:rsidRPr="00A45C7A">
        <w:rPr>
          <w:rFonts w:asciiTheme="majorHAnsi" w:hAnsiTheme="majorHAnsi"/>
          <w:b/>
          <w:bCs/>
          <w:u w:val="single"/>
        </w:rPr>
        <w:t>No. RFQ/NOD/IBA/Repair 400KVA /Generator/002/2019</w:t>
      </w:r>
    </w:p>
    <w:p w:rsidR="002C4179" w:rsidRPr="00A45C7A" w:rsidRDefault="002C4179" w:rsidP="00A45C7A">
      <w:pPr>
        <w:jc w:val="center"/>
        <w:rPr>
          <w:rFonts w:asciiTheme="majorHAnsi" w:hAnsiTheme="majorHAnsi"/>
          <w:b/>
          <w:bCs/>
          <w:u w:val="single"/>
        </w:rPr>
      </w:pPr>
    </w:p>
    <w:p w:rsidR="00A45C7A" w:rsidRPr="00A45C7A" w:rsidRDefault="00A45C7A" w:rsidP="00A45C7A">
      <w:pPr>
        <w:jc w:val="center"/>
        <w:rPr>
          <w:rFonts w:asciiTheme="majorHAnsi" w:hAnsiTheme="majorHAnsi"/>
          <w:b/>
          <w:bCs/>
          <w:sz w:val="28"/>
          <w:lang w:val="en-GB"/>
        </w:rPr>
      </w:pPr>
      <w:r w:rsidRPr="00A45C7A">
        <w:rPr>
          <w:rFonts w:asciiTheme="majorHAnsi" w:hAnsiTheme="majorHAnsi"/>
          <w:b/>
          <w:bCs/>
          <w:sz w:val="28"/>
          <w:lang w:val="en-GB"/>
        </w:rPr>
        <w:t>Repair of Generator at CX Abbottabad for Network Operation &amp; Deployment Region HTR-AJK</w:t>
      </w:r>
    </w:p>
    <w:p w:rsidR="00F61E86" w:rsidRPr="00F61E86" w:rsidRDefault="00F61E86" w:rsidP="00F61E86">
      <w:pPr>
        <w:jc w:val="both"/>
        <w:rPr>
          <w:rFonts w:asciiTheme="majorHAnsi" w:hAnsiTheme="majorHAnsi"/>
          <w:b/>
          <w:bCs/>
          <w:sz w:val="28"/>
        </w:rPr>
      </w:pPr>
      <w:r w:rsidRPr="00F61E86">
        <w:rPr>
          <w:rFonts w:asciiTheme="majorHAnsi" w:hAnsiTheme="majorHAnsi"/>
          <w:b/>
          <w:bCs/>
          <w:sz w:val="28"/>
        </w:rPr>
        <w:t xml:space="preserve"> </w:t>
      </w:r>
    </w:p>
    <w:p w:rsidR="00F61E86" w:rsidRDefault="00A45C7A" w:rsidP="007318F7">
      <w:pPr>
        <w:jc w:val="both"/>
        <w:rPr>
          <w:rFonts w:asciiTheme="majorHAnsi" w:hAnsiTheme="majorHAnsi"/>
          <w:bCs/>
          <w:sz w:val="22"/>
          <w:szCs w:val="22"/>
        </w:rPr>
      </w:pPr>
      <w:r w:rsidRPr="007318F7">
        <w:rPr>
          <w:rFonts w:asciiTheme="majorHAnsi" w:hAnsiTheme="majorHAnsi"/>
          <w:bCs/>
          <w:sz w:val="22"/>
          <w:szCs w:val="22"/>
        </w:rPr>
        <w:t>Sealed</w:t>
      </w:r>
      <w:r w:rsidRPr="007318F7">
        <w:rPr>
          <w:rFonts w:asciiTheme="majorHAnsi" w:hAnsiTheme="majorHAnsi"/>
          <w:bCs/>
        </w:rPr>
        <w:t xml:space="preserve"> </w:t>
      </w:r>
      <w:r w:rsidRPr="007318F7">
        <w:rPr>
          <w:rFonts w:asciiTheme="majorHAnsi" w:hAnsiTheme="majorHAnsi"/>
          <w:bCs/>
          <w:sz w:val="22"/>
          <w:szCs w:val="22"/>
        </w:rPr>
        <w:t>bids</w:t>
      </w:r>
      <w:r w:rsidR="00F61E86" w:rsidRPr="007318F7">
        <w:rPr>
          <w:rFonts w:asciiTheme="majorHAnsi" w:hAnsiTheme="majorHAnsi"/>
          <w:bCs/>
          <w:sz w:val="22"/>
          <w:szCs w:val="22"/>
        </w:rPr>
        <w:t xml:space="preserve"> </w:t>
      </w:r>
      <w:r w:rsidRPr="00A45C7A">
        <w:rPr>
          <w:rFonts w:asciiTheme="majorHAnsi" w:hAnsiTheme="majorHAnsi"/>
          <w:bCs/>
          <w:sz w:val="22"/>
          <w:szCs w:val="22"/>
        </w:rPr>
        <w:t xml:space="preserve">are </w:t>
      </w:r>
      <w:r>
        <w:rPr>
          <w:rFonts w:asciiTheme="majorHAnsi" w:hAnsiTheme="majorHAnsi"/>
          <w:bCs/>
          <w:sz w:val="22"/>
          <w:szCs w:val="22"/>
        </w:rPr>
        <w:t>invited</w:t>
      </w:r>
      <w:r w:rsidRPr="00A45C7A">
        <w:rPr>
          <w:rFonts w:asciiTheme="majorHAnsi" w:hAnsiTheme="majorHAnsi"/>
          <w:bCs/>
          <w:sz w:val="22"/>
          <w:szCs w:val="22"/>
        </w:rPr>
        <w:t xml:space="preserve"> from contractors of repute </w:t>
      </w:r>
      <w:r w:rsidR="00F61E86" w:rsidRPr="007318F7">
        <w:rPr>
          <w:rFonts w:asciiTheme="majorHAnsi" w:hAnsiTheme="majorHAnsi"/>
          <w:bCs/>
          <w:sz w:val="22"/>
          <w:szCs w:val="22"/>
        </w:rPr>
        <w:t xml:space="preserve">for </w:t>
      </w:r>
      <w:r w:rsidR="00F61E86" w:rsidRPr="00A45C7A">
        <w:rPr>
          <w:rFonts w:asciiTheme="majorHAnsi" w:hAnsiTheme="majorHAnsi"/>
          <w:b/>
          <w:bCs/>
          <w:sz w:val="22"/>
          <w:szCs w:val="22"/>
        </w:rPr>
        <w:t>‘</w:t>
      </w:r>
      <w:r>
        <w:rPr>
          <w:rFonts w:asciiTheme="majorHAnsi" w:hAnsiTheme="majorHAnsi"/>
          <w:b/>
          <w:bCs/>
          <w:sz w:val="22"/>
          <w:szCs w:val="22"/>
          <w:lang w:val="en-GB"/>
        </w:rPr>
        <w:t>R</w:t>
      </w:r>
      <w:r w:rsidRPr="00A45C7A">
        <w:rPr>
          <w:rFonts w:asciiTheme="majorHAnsi" w:hAnsiTheme="majorHAnsi"/>
          <w:b/>
          <w:bCs/>
          <w:sz w:val="22"/>
          <w:szCs w:val="22"/>
          <w:lang w:val="en-GB"/>
        </w:rPr>
        <w:t>epair of Faulty Generator having 400 KVA capacity in Network Operation &amp; Deployment Region HTR-AJK</w:t>
      </w:r>
      <w:r w:rsidR="00F61E86" w:rsidRPr="00A45C7A">
        <w:rPr>
          <w:rFonts w:asciiTheme="majorHAnsi" w:hAnsiTheme="majorHAnsi"/>
          <w:b/>
          <w:bCs/>
          <w:sz w:val="22"/>
          <w:szCs w:val="22"/>
        </w:rPr>
        <w:t>’</w:t>
      </w:r>
      <w:r w:rsidR="00F61E86" w:rsidRPr="007318F7">
        <w:rPr>
          <w:rFonts w:asciiTheme="majorHAnsi" w:hAnsiTheme="majorHAnsi"/>
          <w:bCs/>
          <w:sz w:val="22"/>
          <w:szCs w:val="22"/>
        </w:rPr>
        <w:t xml:space="preserve"> in accordance with PTCL requirements. </w:t>
      </w:r>
    </w:p>
    <w:p w:rsidR="007318F7" w:rsidRPr="007318F7" w:rsidRDefault="007318F7" w:rsidP="007318F7">
      <w:pPr>
        <w:jc w:val="both"/>
        <w:rPr>
          <w:rFonts w:asciiTheme="majorHAnsi" w:hAnsiTheme="majorHAnsi"/>
          <w:bCs/>
        </w:rPr>
      </w:pPr>
    </w:p>
    <w:p w:rsidR="00F61E86" w:rsidRPr="007318F7" w:rsidRDefault="00A45C7A" w:rsidP="00F61E86">
      <w:pPr>
        <w:pStyle w:val="ListParagraph"/>
        <w:numPr>
          <w:ilvl w:val="0"/>
          <w:numId w:val="2"/>
        </w:numPr>
        <w:jc w:val="both"/>
        <w:rPr>
          <w:rFonts w:asciiTheme="majorHAnsi" w:hAnsiTheme="majorHAnsi"/>
          <w:bCs/>
          <w:sz w:val="22"/>
          <w:szCs w:val="22"/>
        </w:rPr>
      </w:pPr>
      <w:r w:rsidRPr="00A45C7A">
        <w:rPr>
          <w:rFonts w:asciiTheme="majorHAnsi" w:hAnsiTheme="majorHAnsi"/>
          <w:bCs/>
          <w:sz w:val="22"/>
          <w:szCs w:val="22"/>
        </w:rPr>
        <w:t xml:space="preserve">Tender documents can be obtained on payment of </w:t>
      </w:r>
      <w:r w:rsidRPr="00A45C7A">
        <w:rPr>
          <w:rFonts w:asciiTheme="majorHAnsi" w:hAnsiTheme="majorHAnsi"/>
          <w:b/>
          <w:bCs/>
          <w:sz w:val="22"/>
          <w:szCs w:val="22"/>
        </w:rPr>
        <w:t>Rs. 1000/-</w:t>
      </w:r>
      <w:r w:rsidRPr="00A45C7A">
        <w:rPr>
          <w:rFonts w:asciiTheme="majorHAnsi" w:hAnsiTheme="majorHAnsi"/>
          <w:bCs/>
          <w:sz w:val="22"/>
          <w:szCs w:val="22"/>
        </w:rPr>
        <w:t xml:space="preserve"> </w:t>
      </w:r>
      <w:r>
        <w:rPr>
          <w:rFonts w:asciiTheme="majorHAnsi" w:hAnsiTheme="majorHAnsi"/>
          <w:bCs/>
          <w:sz w:val="22"/>
          <w:szCs w:val="22"/>
        </w:rPr>
        <w:t>(</w:t>
      </w:r>
      <w:r w:rsidRPr="00A45C7A">
        <w:rPr>
          <w:rFonts w:asciiTheme="majorHAnsi" w:hAnsiTheme="majorHAnsi"/>
          <w:bCs/>
          <w:sz w:val="22"/>
          <w:szCs w:val="22"/>
        </w:rPr>
        <w:t>cash</w:t>
      </w:r>
      <w:r>
        <w:rPr>
          <w:rFonts w:asciiTheme="majorHAnsi" w:hAnsiTheme="majorHAnsi"/>
          <w:bCs/>
          <w:sz w:val="22"/>
          <w:szCs w:val="22"/>
        </w:rPr>
        <w:t>)</w:t>
      </w:r>
      <w:r w:rsidRPr="00A45C7A">
        <w:rPr>
          <w:rFonts w:asciiTheme="majorHAnsi" w:hAnsiTheme="majorHAnsi"/>
          <w:bCs/>
          <w:sz w:val="22"/>
          <w:szCs w:val="22"/>
        </w:rPr>
        <w:t xml:space="preserve"> from the office of GM NOD</w:t>
      </w:r>
      <w:r>
        <w:rPr>
          <w:rFonts w:asciiTheme="majorHAnsi" w:hAnsiTheme="majorHAnsi"/>
          <w:bCs/>
          <w:sz w:val="22"/>
          <w:szCs w:val="22"/>
        </w:rPr>
        <w:t>,</w:t>
      </w:r>
      <w:r w:rsidRPr="00A45C7A">
        <w:rPr>
          <w:rFonts w:asciiTheme="majorHAnsi" w:hAnsiTheme="majorHAnsi"/>
          <w:bCs/>
          <w:sz w:val="22"/>
          <w:szCs w:val="22"/>
        </w:rPr>
        <w:t xml:space="preserve"> HTR-AJK</w:t>
      </w:r>
      <w:r>
        <w:rPr>
          <w:rFonts w:asciiTheme="majorHAnsi" w:hAnsiTheme="majorHAnsi"/>
          <w:bCs/>
          <w:sz w:val="22"/>
          <w:szCs w:val="22"/>
        </w:rPr>
        <w:t>,</w:t>
      </w:r>
      <w:r w:rsidRPr="00A45C7A">
        <w:rPr>
          <w:rFonts w:asciiTheme="majorHAnsi" w:hAnsiTheme="majorHAnsi"/>
          <w:bCs/>
          <w:sz w:val="22"/>
          <w:szCs w:val="22"/>
        </w:rPr>
        <w:t xml:space="preserve"> Room # 47 Telephone House</w:t>
      </w:r>
      <w:r>
        <w:rPr>
          <w:rFonts w:asciiTheme="majorHAnsi" w:hAnsiTheme="majorHAnsi"/>
          <w:bCs/>
          <w:sz w:val="22"/>
          <w:szCs w:val="22"/>
        </w:rPr>
        <w:t>,</w:t>
      </w:r>
      <w:r w:rsidRPr="00A45C7A">
        <w:rPr>
          <w:rFonts w:asciiTheme="majorHAnsi" w:hAnsiTheme="majorHAnsi"/>
          <w:bCs/>
          <w:sz w:val="22"/>
          <w:szCs w:val="22"/>
        </w:rPr>
        <w:t xml:space="preserve"> Pine View Road</w:t>
      </w:r>
      <w:r>
        <w:rPr>
          <w:rFonts w:asciiTheme="majorHAnsi" w:hAnsiTheme="majorHAnsi"/>
          <w:bCs/>
          <w:sz w:val="22"/>
          <w:szCs w:val="22"/>
        </w:rPr>
        <w:t>,</w:t>
      </w:r>
      <w:r w:rsidRPr="00A45C7A">
        <w:rPr>
          <w:rFonts w:asciiTheme="majorHAnsi" w:hAnsiTheme="majorHAnsi"/>
          <w:bCs/>
          <w:sz w:val="22"/>
          <w:szCs w:val="22"/>
        </w:rPr>
        <w:t xml:space="preserve"> Abbottabad</w:t>
      </w:r>
      <w:r w:rsidR="00F61E86" w:rsidRPr="007318F7">
        <w:rPr>
          <w:rFonts w:asciiTheme="majorHAnsi" w:hAnsiTheme="majorHAnsi"/>
          <w:bCs/>
          <w:sz w:val="22"/>
          <w:szCs w:val="22"/>
        </w:rPr>
        <w:t xml:space="preserve">. </w:t>
      </w:r>
    </w:p>
    <w:p w:rsidR="007318F7" w:rsidRPr="007318F7" w:rsidRDefault="007318F7" w:rsidP="007318F7">
      <w:pPr>
        <w:pStyle w:val="ListParagraph"/>
        <w:jc w:val="both"/>
        <w:rPr>
          <w:rFonts w:asciiTheme="majorHAnsi" w:hAnsiTheme="majorHAnsi"/>
          <w:bCs/>
          <w:sz w:val="22"/>
          <w:szCs w:val="22"/>
        </w:rPr>
      </w:pPr>
    </w:p>
    <w:p w:rsidR="00A45C7A" w:rsidRDefault="00A45C7A" w:rsidP="00F61E86">
      <w:pPr>
        <w:pStyle w:val="ListParagraph"/>
        <w:numPr>
          <w:ilvl w:val="0"/>
          <w:numId w:val="2"/>
        </w:numPr>
        <w:jc w:val="both"/>
        <w:rPr>
          <w:rFonts w:asciiTheme="majorHAnsi" w:hAnsiTheme="majorHAnsi"/>
          <w:bCs/>
          <w:sz w:val="22"/>
          <w:szCs w:val="22"/>
        </w:rPr>
      </w:pPr>
      <w:r w:rsidRPr="00A45C7A">
        <w:rPr>
          <w:rFonts w:asciiTheme="majorHAnsi" w:hAnsiTheme="majorHAnsi"/>
          <w:bCs/>
          <w:sz w:val="22"/>
          <w:szCs w:val="22"/>
        </w:rPr>
        <w:t xml:space="preserve">Bids with Bid Security of </w:t>
      </w:r>
      <w:r w:rsidRPr="00A45C7A">
        <w:rPr>
          <w:rFonts w:asciiTheme="majorHAnsi" w:hAnsiTheme="majorHAnsi"/>
          <w:b/>
          <w:bCs/>
          <w:sz w:val="22"/>
          <w:szCs w:val="22"/>
        </w:rPr>
        <w:t>Rs</w:t>
      </w:r>
      <w:r w:rsidR="00F7294F">
        <w:rPr>
          <w:rFonts w:asciiTheme="majorHAnsi" w:hAnsiTheme="majorHAnsi"/>
          <w:b/>
          <w:bCs/>
          <w:sz w:val="22"/>
          <w:szCs w:val="22"/>
        </w:rPr>
        <w:t>.</w:t>
      </w:r>
      <w:bookmarkStart w:id="0" w:name="_GoBack"/>
      <w:bookmarkEnd w:id="0"/>
      <w:r w:rsidRPr="00A45C7A">
        <w:rPr>
          <w:rFonts w:asciiTheme="majorHAnsi" w:hAnsiTheme="majorHAnsi"/>
          <w:b/>
          <w:bCs/>
          <w:sz w:val="22"/>
          <w:szCs w:val="22"/>
        </w:rPr>
        <w:t xml:space="preserve"> 50,000/-</w:t>
      </w:r>
      <w:r w:rsidRPr="00A45C7A">
        <w:rPr>
          <w:rFonts w:asciiTheme="majorHAnsi" w:hAnsiTheme="majorHAnsi"/>
          <w:bCs/>
          <w:sz w:val="22"/>
          <w:szCs w:val="22"/>
        </w:rPr>
        <w:t xml:space="preserve"> in shape of Pay </w:t>
      </w:r>
      <w:r>
        <w:rPr>
          <w:rFonts w:asciiTheme="majorHAnsi" w:hAnsiTheme="majorHAnsi"/>
          <w:bCs/>
          <w:sz w:val="22"/>
          <w:szCs w:val="22"/>
        </w:rPr>
        <w:t>O</w:t>
      </w:r>
      <w:r w:rsidRPr="00A45C7A">
        <w:rPr>
          <w:rFonts w:asciiTheme="majorHAnsi" w:hAnsiTheme="majorHAnsi"/>
          <w:bCs/>
          <w:sz w:val="22"/>
          <w:szCs w:val="22"/>
        </w:rPr>
        <w:t xml:space="preserve">rder/Demand Draft/Bank Guarantee in </w:t>
      </w:r>
      <w:proofErr w:type="spellStart"/>
      <w:r w:rsidRPr="00A45C7A">
        <w:rPr>
          <w:rFonts w:asciiTheme="majorHAnsi" w:hAnsiTheme="majorHAnsi"/>
          <w:bCs/>
          <w:sz w:val="22"/>
          <w:szCs w:val="22"/>
        </w:rPr>
        <w:t>favo</w:t>
      </w:r>
      <w:r>
        <w:rPr>
          <w:rFonts w:asciiTheme="majorHAnsi" w:hAnsiTheme="majorHAnsi"/>
          <w:bCs/>
          <w:sz w:val="22"/>
          <w:szCs w:val="22"/>
        </w:rPr>
        <w:t>u</w:t>
      </w:r>
      <w:r w:rsidRPr="00A45C7A">
        <w:rPr>
          <w:rFonts w:asciiTheme="majorHAnsi" w:hAnsiTheme="majorHAnsi"/>
          <w:bCs/>
          <w:sz w:val="22"/>
          <w:szCs w:val="22"/>
        </w:rPr>
        <w:t>r</w:t>
      </w:r>
      <w:proofErr w:type="spellEnd"/>
      <w:r w:rsidRPr="00A45C7A">
        <w:rPr>
          <w:rFonts w:asciiTheme="majorHAnsi" w:hAnsiTheme="majorHAnsi"/>
          <w:bCs/>
          <w:sz w:val="22"/>
          <w:szCs w:val="22"/>
        </w:rPr>
        <w:t xml:space="preserve"> of </w:t>
      </w:r>
      <w:r w:rsidRPr="00A45C7A">
        <w:rPr>
          <w:rFonts w:asciiTheme="majorHAnsi" w:hAnsiTheme="majorHAnsi"/>
          <w:b/>
          <w:bCs/>
          <w:sz w:val="22"/>
          <w:szCs w:val="22"/>
        </w:rPr>
        <w:t>SM Finance HTR</w:t>
      </w:r>
      <w:r w:rsidRPr="00A45C7A">
        <w:rPr>
          <w:rFonts w:asciiTheme="majorHAnsi" w:hAnsiTheme="majorHAnsi"/>
          <w:bCs/>
          <w:sz w:val="22"/>
          <w:szCs w:val="22"/>
        </w:rPr>
        <w:t xml:space="preserve"> shall be submitted to office of Senior Manager N.W</w:t>
      </w:r>
      <w:r>
        <w:rPr>
          <w:rFonts w:asciiTheme="majorHAnsi" w:hAnsiTheme="majorHAnsi"/>
          <w:bCs/>
          <w:sz w:val="22"/>
          <w:szCs w:val="22"/>
        </w:rPr>
        <w:t xml:space="preserve"> </w:t>
      </w:r>
      <w:r w:rsidRPr="00A45C7A">
        <w:rPr>
          <w:rFonts w:asciiTheme="majorHAnsi" w:hAnsiTheme="majorHAnsi"/>
          <w:bCs/>
          <w:sz w:val="22"/>
          <w:szCs w:val="22"/>
        </w:rPr>
        <w:t>Ops /AJK</w:t>
      </w:r>
      <w:r>
        <w:rPr>
          <w:rFonts w:asciiTheme="majorHAnsi" w:hAnsiTheme="majorHAnsi"/>
          <w:bCs/>
          <w:sz w:val="22"/>
          <w:szCs w:val="22"/>
        </w:rPr>
        <w:t xml:space="preserve"> </w:t>
      </w:r>
      <w:r w:rsidRPr="00A45C7A">
        <w:rPr>
          <w:rFonts w:asciiTheme="majorHAnsi" w:hAnsiTheme="majorHAnsi"/>
          <w:bCs/>
          <w:sz w:val="22"/>
          <w:szCs w:val="22"/>
        </w:rPr>
        <w:t xml:space="preserve">NOD HTR-AJK Abbottabad as per instructions to the bidders contained in the </w:t>
      </w:r>
      <w:r>
        <w:rPr>
          <w:rFonts w:asciiTheme="majorHAnsi" w:hAnsiTheme="majorHAnsi"/>
          <w:bCs/>
          <w:sz w:val="22"/>
          <w:szCs w:val="22"/>
        </w:rPr>
        <w:t>b</w:t>
      </w:r>
      <w:r w:rsidRPr="00A45C7A">
        <w:rPr>
          <w:rFonts w:asciiTheme="majorHAnsi" w:hAnsiTheme="majorHAnsi"/>
          <w:bCs/>
          <w:sz w:val="22"/>
          <w:szCs w:val="22"/>
        </w:rPr>
        <w:t xml:space="preserve">id </w:t>
      </w:r>
      <w:r>
        <w:rPr>
          <w:rFonts w:asciiTheme="majorHAnsi" w:hAnsiTheme="majorHAnsi"/>
          <w:bCs/>
          <w:sz w:val="22"/>
          <w:szCs w:val="22"/>
        </w:rPr>
        <w:t>d</w:t>
      </w:r>
      <w:r w:rsidRPr="00A45C7A">
        <w:rPr>
          <w:rFonts w:asciiTheme="majorHAnsi" w:hAnsiTheme="majorHAnsi"/>
          <w:bCs/>
          <w:sz w:val="22"/>
          <w:szCs w:val="22"/>
        </w:rPr>
        <w:t xml:space="preserve">ocuments by </w:t>
      </w:r>
      <w:r w:rsidRPr="00A45C7A">
        <w:rPr>
          <w:rFonts w:asciiTheme="majorHAnsi" w:hAnsiTheme="majorHAnsi"/>
          <w:b/>
          <w:bCs/>
          <w:sz w:val="22"/>
          <w:szCs w:val="22"/>
        </w:rPr>
        <w:t>1100 hours</w:t>
      </w:r>
      <w:r w:rsidRPr="00A45C7A">
        <w:rPr>
          <w:rFonts w:asciiTheme="majorHAnsi" w:hAnsiTheme="majorHAnsi"/>
          <w:bCs/>
          <w:sz w:val="22"/>
          <w:szCs w:val="22"/>
        </w:rPr>
        <w:t xml:space="preserve"> on </w:t>
      </w:r>
      <w:r w:rsidRPr="00A45C7A">
        <w:rPr>
          <w:rFonts w:asciiTheme="majorHAnsi" w:hAnsiTheme="majorHAnsi"/>
          <w:b/>
          <w:bCs/>
          <w:sz w:val="22"/>
          <w:szCs w:val="22"/>
        </w:rPr>
        <w:t>11-03-2019</w:t>
      </w:r>
      <w:r w:rsidRPr="00A45C7A">
        <w:rPr>
          <w:rFonts w:asciiTheme="majorHAnsi" w:hAnsiTheme="majorHAnsi"/>
          <w:bCs/>
          <w:sz w:val="22"/>
          <w:szCs w:val="22"/>
        </w:rPr>
        <w:t>.</w:t>
      </w:r>
    </w:p>
    <w:p w:rsidR="00A45C7A" w:rsidRPr="00A45C7A" w:rsidRDefault="00A45C7A" w:rsidP="00A45C7A">
      <w:pPr>
        <w:pStyle w:val="ListParagraph"/>
        <w:rPr>
          <w:rFonts w:asciiTheme="majorHAnsi" w:hAnsiTheme="majorHAnsi"/>
          <w:bCs/>
          <w:sz w:val="22"/>
          <w:szCs w:val="22"/>
        </w:rPr>
      </w:pPr>
    </w:p>
    <w:p w:rsidR="007318F7" w:rsidRPr="00A45C7A" w:rsidRDefault="00A45C7A" w:rsidP="00A45C7A">
      <w:pPr>
        <w:pStyle w:val="ListParagraph"/>
        <w:numPr>
          <w:ilvl w:val="0"/>
          <w:numId w:val="2"/>
        </w:numPr>
        <w:jc w:val="both"/>
        <w:rPr>
          <w:rFonts w:asciiTheme="majorHAnsi" w:hAnsiTheme="majorHAnsi"/>
          <w:bCs/>
          <w:sz w:val="22"/>
          <w:szCs w:val="22"/>
        </w:rPr>
      </w:pPr>
      <w:r w:rsidRPr="00A45C7A">
        <w:rPr>
          <w:rFonts w:asciiTheme="majorHAnsi" w:hAnsiTheme="majorHAnsi"/>
          <w:bCs/>
          <w:sz w:val="22"/>
          <w:szCs w:val="22"/>
        </w:rPr>
        <w:t>Bid security of the unsuccessful bidders shall be returned and released after completion of the tender</w:t>
      </w:r>
      <w:r w:rsidR="00F61E86" w:rsidRPr="007318F7">
        <w:rPr>
          <w:rFonts w:asciiTheme="majorHAnsi" w:hAnsiTheme="majorHAnsi"/>
          <w:bCs/>
          <w:sz w:val="22"/>
          <w:szCs w:val="22"/>
        </w:rPr>
        <w:t>.</w:t>
      </w:r>
      <w:r w:rsidR="00F61E86" w:rsidRPr="00A45C7A">
        <w:rPr>
          <w:rFonts w:asciiTheme="majorHAnsi" w:hAnsiTheme="majorHAnsi"/>
          <w:bCs/>
          <w:sz w:val="22"/>
          <w:szCs w:val="22"/>
        </w:rPr>
        <w:t xml:space="preserve"> </w:t>
      </w:r>
    </w:p>
    <w:p w:rsidR="007318F7" w:rsidRPr="007318F7" w:rsidRDefault="007318F7" w:rsidP="007318F7">
      <w:pPr>
        <w:pStyle w:val="ListParagraph"/>
        <w:jc w:val="both"/>
        <w:rPr>
          <w:rFonts w:asciiTheme="majorHAnsi" w:hAnsiTheme="majorHAnsi"/>
          <w:bCs/>
          <w:sz w:val="22"/>
          <w:szCs w:val="22"/>
        </w:rPr>
      </w:pPr>
    </w:p>
    <w:p w:rsidR="007318F7" w:rsidRP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Bids received after the above deadline shall not be accepted and be returned unopened.</w:t>
      </w:r>
    </w:p>
    <w:p w:rsidR="007318F7" w:rsidRPr="007318F7" w:rsidRDefault="007318F7" w:rsidP="007318F7">
      <w:pPr>
        <w:jc w:val="both"/>
        <w:rPr>
          <w:rFonts w:asciiTheme="majorHAnsi" w:hAnsiTheme="majorHAnsi"/>
          <w:bCs/>
          <w:sz w:val="22"/>
          <w:szCs w:val="22"/>
        </w:rPr>
      </w:pPr>
    </w:p>
    <w:p w:rsidR="007318F7" w:rsidRPr="007318F7" w:rsidRDefault="002C4179" w:rsidP="00F61E86">
      <w:pPr>
        <w:pStyle w:val="ListParagraph"/>
        <w:numPr>
          <w:ilvl w:val="0"/>
          <w:numId w:val="2"/>
        </w:numPr>
        <w:jc w:val="both"/>
        <w:rPr>
          <w:rFonts w:asciiTheme="majorHAnsi" w:hAnsiTheme="majorHAnsi"/>
          <w:bCs/>
          <w:sz w:val="22"/>
          <w:szCs w:val="22"/>
        </w:rPr>
      </w:pPr>
      <w:r w:rsidRPr="002C4179">
        <w:rPr>
          <w:rFonts w:asciiTheme="majorHAnsi" w:hAnsiTheme="majorHAnsi"/>
          <w:bCs/>
          <w:sz w:val="22"/>
          <w:szCs w:val="22"/>
        </w:rPr>
        <w:t>Bidder must mention their Vendor Registration code on quotation. In case vendor is not registered, then registration must be done before the issuance of Letter of Intent (LOI). Vendor Registration form can be downloaded from PTCL website</w:t>
      </w:r>
      <w:r w:rsidR="007318F7" w:rsidRPr="007318F7">
        <w:rPr>
          <w:rFonts w:asciiTheme="majorHAnsi" w:hAnsiTheme="majorHAnsi"/>
          <w:bCs/>
          <w:sz w:val="22"/>
          <w:szCs w:val="22"/>
        </w:rPr>
        <w:t>:</w:t>
      </w:r>
      <w:r w:rsidR="00F61E86" w:rsidRPr="007318F7">
        <w:rPr>
          <w:rFonts w:asciiTheme="majorHAnsi" w:hAnsiTheme="majorHAnsi"/>
          <w:bCs/>
          <w:sz w:val="22"/>
          <w:szCs w:val="22"/>
        </w:rPr>
        <w:t xml:space="preserve"> </w:t>
      </w:r>
      <w:hyperlink r:id="rId6" w:history="1">
        <w:r w:rsidR="007318F7" w:rsidRPr="007318F7">
          <w:rPr>
            <w:rStyle w:val="Hyperlink"/>
            <w:rFonts w:asciiTheme="majorHAnsi" w:hAnsiTheme="majorHAnsi"/>
            <w:bCs/>
            <w:sz w:val="22"/>
            <w:szCs w:val="22"/>
          </w:rPr>
          <w:t>https://ptcl.com.pk/Info/Vendor-Registration-Form</w:t>
        </w:r>
      </w:hyperlink>
    </w:p>
    <w:p w:rsidR="007318F7" w:rsidRPr="007318F7" w:rsidRDefault="007318F7" w:rsidP="007318F7">
      <w:pPr>
        <w:pStyle w:val="ListParagraph"/>
        <w:jc w:val="both"/>
        <w:rPr>
          <w:rFonts w:asciiTheme="majorHAnsi" w:hAnsiTheme="majorHAnsi"/>
          <w:b/>
          <w:bCs/>
          <w:sz w:val="22"/>
          <w:szCs w:val="22"/>
        </w:rPr>
      </w:pPr>
    </w:p>
    <w:p w:rsidR="007318F7" w:rsidRP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PTCL reserves the right to reject any or all bids and to annul the bidding process at any time, without thereby incurring any liability to the affected bidder(s) or any obligations to inform the affected bidder (s) of the grounds for PTCL</w:t>
      </w:r>
      <w:r w:rsidR="007318F7" w:rsidRPr="007318F7">
        <w:rPr>
          <w:rFonts w:asciiTheme="majorHAnsi" w:hAnsiTheme="majorHAnsi"/>
          <w:bCs/>
          <w:sz w:val="22"/>
          <w:szCs w:val="22"/>
        </w:rPr>
        <w:t>’s</w:t>
      </w:r>
      <w:r w:rsidRPr="007318F7">
        <w:rPr>
          <w:rFonts w:asciiTheme="majorHAnsi" w:hAnsiTheme="majorHAnsi"/>
          <w:bCs/>
          <w:sz w:val="22"/>
          <w:szCs w:val="22"/>
        </w:rPr>
        <w:t xml:space="preserve"> </w:t>
      </w:r>
      <w:r w:rsidR="002C4179">
        <w:rPr>
          <w:rFonts w:asciiTheme="majorHAnsi" w:hAnsiTheme="majorHAnsi"/>
          <w:bCs/>
          <w:sz w:val="22"/>
          <w:szCs w:val="22"/>
        </w:rPr>
        <w:t>a</w:t>
      </w:r>
      <w:r w:rsidRPr="007318F7">
        <w:rPr>
          <w:rFonts w:asciiTheme="majorHAnsi" w:hAnsiTheme="majorHAnsi"/>
          <w:bCs/>
          <w:sz w:val="22"/>
          <w:szCs w:val="22"/>
        </w:rPr>
        <w:t xml:space="preserve">ction. </w:t>
      </w:r>
    </w:p>
    <w:p w:rsidR="007318F7" w:rsidRPr="007318F7" w:rsidRDefault="007318F7" w:rsidP="007318F7">
      <w:pPr>
        <w:pStyle w:val="ListParagraph"/>
        <w:rPr>
          <w:rFonts w:asciiTheme="majorHAnsi" w:hAnsiTheme="majorHAnsi"/>
          <w:b/>
          <w:bCs/>
          <w:sz w:val="22"/>
          <w:szCs w:val="22"/>
        </w:rPr>
      </w:pPr>
    </w:p>
    <w:p w:rsidR="00DB4ED6" w:rsidRPr="007318F7" w:rsidRDefault="00F61E86" w:rsidP="007318F7">
      <w:pPr>
        <w:pStyle w:val="ListParagraph"/>
        <w:numPr>
          <w:ilvl w:val="0"/>
          <w:numId w:val="2"/>
        </w:numPr>
        <w:jc w:val="both"/>
        <w:rPr>
          <w:rFonts w:asciiTheme="majorHAnsi" w:hAnsiTheme="majorHAnsi"/>
          <w:bCs/>
          <w:sz w:val="16"/>
        </w:rPr>
      </w:pPr>
      <w:r w:rsidRPr="007318F7">
        <w:rPr>
          <w:rFonts w:asciiTheme="majorHAnsi" w:hAnsiTheme="majorHAnsi"/>
          <w:bCs/>
          <w:sz w:val="22"/>
          <w:szCs w:val="22"/>
        </w:rPr>
        <w:t>All correspondence on the subject may be addressed to the undersigned.</w:t>
      </w:r>
      <w:r w:rsidRPr="007318F7">
        <w:rPr>
          <w:rFonts w:asciiTheme="majorHAnsi" w:hAnsiTheme="majorHAnsi"/>
          <w:bCs/>
        </w:rPr>
        <w:t xml:space="preserve"> </w:t>
      </w:r>
    </w:p>
    <w:p w:rsidR="00DB4ED6" w:rsidRPr="008A5CC6" w:rsidRDefault="00DB4ED6" w:rsidP="00DB4ED6">
      <w:pPr>
        <w:jc w:val="center"/>
        <w:rPr>
          <w:rFonts w:asciiTheme="majorHAnsi" w:hAnsiTheme="majorHAnsi"/>
          <w:b/>
          <w:sz w:val="20"/>
          <w:szCs w:val="20"/>
        </w:rPr>
      </w:pPr>
    </w:p>
    <w:p w:rsidR="002C4179" w:rsidRPr="002C4179" w:rsidRDefault="002C4179" w:rsidP="002C4179">
      <w:pPr>
        <w:ind w:left="360"/>
        <w:rPr>
          <w:rFonts w:asciiTheme="majorHAnsi" w:hAnsiTheme="majorHAnsi"/>
          <w:b/>
          <w:sz w:val="28"/>
          <w:szCs w:val="20"/>
        </w:rPr>
      </w:pPr>
      <w:r w:rsidRPr="002C4179">
        <w:rPr>
          <w:rFonts w:asciiTheme="majorHAnsi" w:hAnsiTheme="majorHAnsi"/>
          <w:b/>
          <w:sz w:val="28"/>
          <w:szCs w:val="20"/>
        </w:rPr>
        <w:t>Senior Manager</w:t>
      </w:r>
    </w:p>
    <w:p w:rsidR="002C4179" w:rsidRPr="002C4179" w:rsidRDefault="002C4179" w:rsidP="002C4179">
      <w:pPr>
        <w:ind w:left="360"/>
        <w:rPr>
          <w:rFonts w:asciiTheme="majorHAnsi" w:hAnsiTheme="majorHAnsi"/>
          <w:szCs w:val="20"/>
        </w:rPr>
      </w:pPr>
      <w:r w:rsidRPr="002C4179">
        <w:rPr>
          <w:rFonts w:asciiTheme="majorHAnsi" w:hAnsiTheme="majorHAnsi"/>
          <w:szCs w:val="20"/>
        </w:rPr>
        <w:t>N.W Ops / NOD HTR-AJK</w:t>
      </w:r>
    </w:p>
    <w:p w:rsidR="002C4179" w:rsidRPr="002C4179" w:rsidRDefault="002C4179" w:rsidP="002C4179">
      <w:pPr>
        <w:ind w:left="360"/>
        <w:rPr>
          <w:rFonts w:asciiTheme="majorHAnsi" w:hAnsiTheme="majorHAnsi"/>
          <w:szCs w:val="20"/>
        </w:rPr>
      </w:pPr>
      <w:r w:rsidRPr="002C4179">
        <w:rPr>
          <w:rFonts w:asciiTheme="majorHAnsi" w:hAnsiTheme="majorHAnsi"/>
          <w:szCs w:val="20"/>
        </w:rPr>
        <w:t>Room No. 47, 1st Floor Telephone House</w:t>
      </w:r>
    </w:p>
    <w:p w:rsidR="002C4179" w:rsidRPr="002C4179" w:rsidRDefault="002C4179" w:rsidP="002C4179">
      <w:pPr>
        <w:ind w:left="360"/>
        <w:rPr>
          <w:rFonts w:asciiTheme="majorHAnsi" w:hAnsiTheme="majorHAnsi"/>
          <w:szCs w:val="20"/>
        </w:rPr>
      </w:pPr>
      <w:r w:rsidRPr="002C4179">
        <w:rPr>
          <w:rFonts w:asciiTheme="majorHAnsi" w:hAnsiTheme="majorHAnsi"/>
          <w:szCs w:val="20"/>
        </w:rPr>
        <w:t xml:space="preserve">Pine View Road, Abbottabad.                                                                                                                                Tel: +92-992-334488 </w:t>
      </w:r>
      <w:r w:rsidRPr="002C4179">
        <w:rPr>
          <w:rFonts w:asciiTheme="majorHAnsi" w:hAnsiTheme="majorHAnsi"/>
          <w:szCs w:val="20"/>
        </w:rPr>
        <w:tab/>
      </w:r>
    </w:p>
    <w:p w:rsidR="002C4179" w:rsidRPr="002C4179" w:rsidRDefault="002C4179" w:rsidP="002C4179">
      <w:pPr>
        <w:ind w:left="360"/>
        <w:rPr>
          <w:rFonts w:asciiTheme="majorHAnsi" w:hAnsiTheme="majorHAnsi"/>
          <w:szCs w:val="20"/>
          <w:lang w:val="en-GB"/>
        </w:rPr>
      </w:pPr>
      <w:r w:rsidRPr="002C4179">
        <w:rPr>
          <w:rFonts w:asciiTheme="majorHAnsi" w:hAnsiTheme="majorHAnsi"/>
          <w:szCs w:val="20"/>
          <w:lang w:val="fr-FR"/>
        </w:rPr>
        <w:t>Email : Kamal.mustafa@ptcl.net.pk</w:t>
      </w:r>
    </w:p>
    <w:p w:rsidR="00F61E86" w:rsidRPr="007318F7" w:rsidRDefault="00F61E86" w:rsidP="002C4179">
      <w:pPr>
        <w:ind w:left="360"/>
        <w:rPr>
          <w:rFonts w:asciiTheme="majorHAnsi" w:hAnsiTheme="majorHAnsi"/>
          <w:sz w:val="22"/>
          <w:szCs w:val="20"/>
        </w:rPr>
      </w:pPr>
    </w:p>
    <w:sectPr w:rsidR="00F61E86" w:rsidRPr="0073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1F045442"/>
    <w:lvl w:ilvl="0" w:tplc="EFF65B78">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DED"/>
    <w:multiLevelType w:val="hybridMultilevel"/>
    <w:tmpl w:val="49301620"/>
    <w:lvl w:ilvl="0" w:tplc="182810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2172CB"/>
    <w:rsid w:val="002C4179"/>
    <w:rsid w:val="00324D20"/>
    <w:rsid w:val="005434D8"/>
    <w:rsid w:val="006A3034"/>
    <w:rsid w:val="006F03E8"/>
    <w:rsid w:val="00726342"/>
    <w:rsid w:val="007318F7"/>
    <w:rsid w:val="007D3184"/>
    <w:rsid w:val="009D5FAE"/>
    <w:rsid w:val="009E18A8"/>
    <w:rsid w:val="00A175DB"/>
    <w:rsid w:val="00A45C7A"/>
    <w:rsid w:val="00BA7EFE"/>
    <w:rsid w:val="00BD21E2"/>
    <w:rsid w:val="00C63342"/>
    <w:rsid w:val="00D577B3"/>
    <w:rsid w:val="00DA11CD"/>
    <w:rsid w:val="00DB4ED6"/>
    <w:rsid w:val="00E77EAD"/>
    <w:rsid w:val="00F379CF"/>
    <w:rsid w:val="00F61E86"/>
    <w:rsid w:val="00F7294F"/>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E8D3"/>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Amar/Management Trainee/PTCL</cp:lastModifiedBy>
  <cp:revision>3</cp:revision>
  <dcterms:created xsi:type="dcterms:W3CDTF">2019-02-27T12:31:00Z</dcterms:created>
  <dcterms:modified xsi:type="dcterms:W3CDTF">2019-02-27T12:31:00Z</dcterms:modified>
</cp:coreProperties>
</file>