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2" w:type="dxa"/>
        <w:jc w:val="center"/>
        <w:tblLook w:val="01E0" w:firstRow="1" w:lastRow="1" w:firstColumn="1" w:lastColumn="1" w:noHBand="0" w:noVBand="0"/>
      </w:tblPr>
      <w:tblGrid>
        <w:gridCol w:w="2706"/>
        <w:gridCol w:w="6696"/>
      </w:tblGrid>
      <w:tr w:rsidR="00DB4ED6" w:rsidRPr="008C3C90" w:rsidTr="00055CE0">
        <w:trPr>
          <w:trHeight w:val="1026"/>
          <w:jc w:val="center"/>
        </w:trPr>
        <w:tc>
          <w:tcPr>
            <w:tcW w:w="2706" w:type="dxa"/>
          </w:tcPr>
          <w:p w:rsidR="00DB4ED6" w:rsidRPr="008C3C90" w:rsidRDefault="00DB4ED6" w:rsidP="00055CE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C3C90">
              <w:rPr>
                <w:rFonts w:asciiTheme="majorHAnsi" w:hAnsiTheme="majorHAnsi" w:cs="Arial"/>
                <w:noProof/>
                <w:sz w:val="22"/>
                <w:szCs w:val="22"/>
              </w:rPr>
              <w:drawing>
                <wp:inline distT="0" distB="0" distL="0" distR="0" wp14:anchorId="7B12C656" wp14:editId="1A4FC8E8">
                  <wp:extent cx="1562100" cy="561975"/>
                  <wp:effectExtent l="0" t="0" r="0" b="9525"/>
                  <wp:docPr id="2" name="Picture 2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6" w:type="dxa"/>
          </w:tcPr>
          <w:p w:rsidR="00DB4ED6" w:rsidRPr="00A175DB" w:rsidRDefault="00DB4ED6" w:rsidP="00A175DB">
            <w:pPr>
              <w:pStyle w:val="Heading1"/>
              <w:ind w:right="-279"/>
              <w:jc w:val="left"/>
              <w:rPr>
                <w:rFonts w:asciiTheme="majorHAnsi" w:hAnsiTheme="majorHAnsi" w:cs="Arial"/>
                <w:sz w:val="28"/>
                <w:szCs w:val="22"/>
                <w:u w:val="single"/>
              </w:rPr>
            </w:pPr>
            <w:r w:rsidRPr="00A175DB">
              <w:rPr>
                <w:rFonts w:asciiTheme="majorHAnsi" w:hAnsiTheme="majorHAnsi" w:cs="Arial"/>
                <w:sz w:val="28"/>
                <w:szCs w:val="22"/>
                <w:u w:val="single"/>
              </w:rPr>
              <w:t>Pakistan Telecommunication Company Limited</w:t>
            </w:r>
          </w:p>
          <w:p w:rsidR="00DB4ED6" w:rsidRPr="008C3C90" w:rsidRDefault="009E18A8" w:rsidP="00055CE0">
            <w:pPr>
              <w:pStyle w:val="Heading1"/>
              <w:ind w:right="-279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                </w:t>
            </w:r>
          </w:p>
          <w:p w:rsidR="00DB4ED6" w:rsidRPr="008C3C90" w:rsidRDefault="00DB4ED6" w:rsidP="00055CE0">
            <w:pPr>
              <w:pStyle w:val="Heading5"/>
              <w:tabs>
                <w:tab w:val="clear" w:pos="1269"/>
                <w:tab w:val="left" w:pos="922"/>
              </w:tabs>
              <w:ind w:right="-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5434D8" w:rsidRDefault="00DB4ED6" w:rsidP="007A6E23">
      <w:pPr>
        <w:jc w:val="center"/>
        <w:rPr>
          <w:rFonts w:asciiTheme="majorHAnsi" w:hAnsiTheme="majorHAnsi"/>
          <w:b/>
          <w:sz w:val="28"/>
          <w:szCs w:val="20"/>
        </w:rPr>
      </w:pPr>
      <w:r w:rsidRPr="009E18A8">
        <w:rPr>
          <w:rFonts w:asciiTheme="majorHAnsi" w:hAnsiTheme="majorHAnsi"/>
          <w:b/>
          <w:sz w:val="28"/>
          <w:szCs w:val="20"/>
        </w:rPr>
        <w:t>TENDER NOTICE</w:t>
      </w:r>
    </w:p>
    <w:p w:rsidR="007A6E23" w:rsidRPr="007A6E23" w:rsidRDefault="007A6E23" w:rsidP="007A6E23">
      <w:pPr>
        <w:jc w:val="center"/>
        <w:rPr>
          <w:rFonts w:asciiTheme="majorHAnsi" w:hAnsiTheme="majorHAnsi"/>
          <w:b/>
          <w:sz w:val="28"/>
          <w:szCs w:val="20"/>
        </w:rPr>
      </w:pPr>
    </w:p>
    <w:p w:rsidR="007A6E23" w:rsidRPr="007A6E23" w:rsidRDefault="007A6E23" w:rsidP="007A6E23">
      <w:pPr>
        <w:jc w:val="center"/>
        <w:rPr>
          <w:rFonts w:asciiTheme="majorHAnsi" w:hAnsiTheme="majorHAnsi"/>
          <w:b/>
          <w:bCs/>
          <w:sz w:val="28"/>
        </w:rPr>
      </w:pPr>
      <w:r w:rsidRPr="007A6E23">
        <w:rPr>
          <w:rFonts w:asciiTheme="majorHAnsi" w:hAnsiTheme="majorHAnsi"/>
          <w:b/>
          <w:bCs/>
          <w:sz w:val="28"/>
        </w:rPr>
        <w:t>PROVISIONING OF FOOD ON SUBSIDIZED RATES TO</w:t>
      </w:r>
    </w:p>
    <w:p w:rsidR="007A6E23" w:rsidRPr="007A6E23" w:rsidRDefault="007A6E23" w:rsidP="007A6E23">
      <w:pPr>
        <w:jc w:val="center"/>
        <w:rPr>
          <w:rFonts w:asciiTheme="majorHAnsi" w:hAnsiTheme="majorHAnsi"/>
          <w:b/>
          <w:bCs/>
          <w:sz w:val="28"/>
        </w:rPr>
      </w:pPr>
      <w:r w:rsidRPr="007A6E23">
        <w:rPr>
          <w:rFonts w:asciiTheme="majorHAnsi" w:hAnsiTheme="majorHAnsi"/>
          <w:b/>
          <w:bCs/>
          <w:sz w:val="28"/>
        </w:rPr>
        <w:t xml:space="preserve">THE EMPLOYEES WORKING AT CONTACT CENTER TELEPHONE HOUSE &amp; CTO COMPOUND QUETTA </w:t>
      </w:r>
    </w:p>
    <w:p w:rsidR="007D3184" w:rsidRPr="00BA7EFE" w:rsidRDefault="007D3184" w:rsidP="007D3184">
      <w:pPr>
        <w:jc w:val="center"/>
      </w:pPr>
    </w:p>
    <w:p w:rsidR="00552E9C" w:rsidRDefault="007A6E23" w:rsidP="00552E9C">
      <w:pPr>
        <w:rPr>
          <w:rFonts w:asciiTheme="majorHAnsi" w:hAnsiTheme="majorHAnsi" w:cstheme="majorHAnsi"/>
          <w:sz w:val="22"/>
        </w:rPr>
      </w:pPr>
      <w:r w:rsidRPr="007A6E23">
        <w:rPr>
          <w:rFonts w:asciiTheme="majorHAnsi" w:hAnsiTheme="majorHAnsi" w:cstheme="majorHAnsi"/>
          <w:sz w:val="22"/>
        </w:rPr>
        <w:t xml:space="preserve">Sealed bids, in Pak rupees are invited from reputed and renowned firms for </w:t>
      </w:r>
      <w:r>
        <w:rPr>
          <w:rFonts w:asciiTheme="majorHAnsi" w:hAnsiTheme="majorHAnsi" w:cstheme="majorHAnsi"/>
          <w:sz w:val="22"/>
        </w:rPr>
        <w:t>‘</w:t>
      </w:r>
      <w:r w:rsidRPr="007A6E23">
        <w:rPr>
          <w:rFonts w:asciiTheme="majorHAnsi" w:hAnsiTheme="majorHAnsi" w:cstheme="majorHAnsi"/>
          <w:sz w:val="22"/>
        </w:rPr>
        <w:t>Food Catering Services for Canteen at Telephone House and CTO Compound Quett</w:t>
      </w:r>
      <w:r>
        <w:rPr>
          <w:rFonts w:asciiTheme="majorHAnsi" w:hAnsiTheme="majorHAnsi" w:cstheme="majorHAnsi"/>
          <w:sz w:val="22"/>
        </w:rPr>
        <w:t>a’</w:t>
      </w:r>
    </w:p>
    <w:p w:rsidR="007A6E23" w:rsidRPr="00552E9C" w:rsidRDefault="007A6E23" w:rsidP="00552E9C"/>
    <w:p w:rsidR="00EE339F" w:rsidRPr="007A6E23" w:rsidRDefault="007A6E23" w:rsidP="007A6E2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0"/>
        </w:rPr>
      </w:pPr>
      <w:r w:rsidRPr="007A6E23">
        <w:rPr>
          <w:rFonts w:asciiTheme="majorHAnsi" w:hAnsiTheme="majorHAnsi"/>
          <w:sz w:val="22"/>
          <w:szCs w:val="20"/>
        </w:rPr>
        <w:t>Tender documents can be purchased from the office of Manager Admin</w:t>
      </w:r>
      <w:r>
        <w:rPr>
          <w:rFonts w:asciiTheme="majorHAnsi" w:hAnsiTheme="majorHAnsi"/>
          <w:sz w:val="22"/>
          <w:szCs w:val="20"/>
        </w:rPr>
        <w:t xml:space="preserve">, </w:t>
      </w:r>
      <w:r w:rsidRPr="007A6E23">
        <w:rPr>
          <w:rFonts w:asciiTheme="majorHAnsi" w:hAnsiTheme="majorHAnsi"/>
          <w:sz w:val="22"/>
          <w:szCs w:val="20"/>
        </w:rPr>
        <w:t>Room No.225 Admin Block</w:t>
      </w:r>
      <w:r>
        <w:rPr>
          <w:rFonts w:asciiTheme="majorHAnsi" w:hAnsiTheme="majorHAnsi"/>
          <w:sz w:val="22"/>
          <w:szCs w:val="20"/>
        </w:rPr>
        <w:t>,</w:t>
      </w:r>
      <w:r w:rsidRPr="007A6E23">
        <w:rPr>
          <w:rFonts w:asciiTheme="majorHAnsi" w:hAnsiTheme="majorHAnsi"/>
          <w:sz w:val="22"/>
          <w:szCs w:val="20"/>
        </w:rPr>
        <w:t xml:space="preserve"> Mir Jaffar Khan Jam</w:t>
      </w:r>
      <w:r>
        <w:rPr>
          <w:rFonts w:asciiTheme="majorHAnsi" w:hAnsiTheme="majorHAnsi"/>
          <w:sz w:val="22"/>
          <w:szCs w:val="20"/>
        </w:rPr>
        <w:t>a</w:t>
      </w:r>
      <w:r w:rsidRPr="007A6E23">
        <w:rPr>
          <w:rFonts w:asciiTheme="majorHAnsi" w:hAnsiTheme="majorHAnsi"/>
          <w:sz w:val="22"/>
          <w:szCs w:val="20"/>
        </w:rPr>
        <w:t>li Road</w:t>
      </w:r>
      <w:r>
        <w:rPr>
          <w:rFonts w:asciiTheme="majorHAnsi" w:hAnsiTheme="majorHAnsi"/>
          <w:sz w:val="22"/>
          <w:szCs w:val="20"/>
        </w:rPr>
        <w:t>,</w:t>
      </w:r>
      <w:r w:rsidRPr="007A6E23">
        <w:rPr>
          <w:rFonts w:asciiTheme="majorHAnsi" w:hAnsiTheme="majorHAnsi"/>
          <w:sz w:val="22"/>
          <w:szCs w:val="20"/>
        </w:rPr>
        <w:t xml:space="preserve"> Quetta</w:t>
      </w:r>
      <w:r>
        <w:rPr>
          <w:rFonts w:asciiTheme="majorHAnsi" w:hAnsiTheme="majorHAnsi"/>
          <w:sz w:val="22"/>
          <w:szCs w:val="20"/>
        </w:rPr>
        <w:t xml:space="preserve">. </w:t>
      </w:r>
      <w:r w:rsidRPr="007A6E23">
        <w:rPr>
          <w:rFonts w:asciiTheme="majorHAnsi" w:hAnsiTheme="majorHAnsi"/>
          <w:sz w:val="22"/>
          <w:szCs w:val="20"/>
        </w:rPr>
        <w:t xml:space="preserve">on payment of </w:t>
      </w:r>
      <w:r w:rsidRPr="007A6E23">
        <w:rPr>
          <w:rFonts w:asciiTheme="majorHAnsi" w:hAnsiTheme="majorHAnsi"/>
          <w:b/>
          <w:sz w:val="22"/>
          <w:szCs w:val="20"/>
        </w:rPr>
        <w:t>Rs. 500/-</w:t>
      </w:r>
      <w:r w:rsidRPr="007A6E23">
        <w:rPr>
          <w:rFonts w:asciiTheme="majorHAnsi" w:hAnsiTheme="majorHAnsi"/>
          <w:sz w:val="22"/>
          <w:szCs w:val="20"/>
        </w:rPr>
        <w:t xml:space="preserve"> (Non-refundable) through Cash/Demand Draft/Pay </w:t>
      </w:r>
      <w:r>
        <w:rPr>
          <w:rFonts w:asciiTheme="majorHAnsi" w:hAnsiTheme="majorHAnsi"/>
          <w:sz w:val="22"/>
          <w:szCs w:val="20"/>
        </w:rPr>
        <w:t>O</w:t>
      </w:r>
      <w:r w:rsidRPr="007A6E23">
        <w:rPr>
          <w:rFonts w:asciiTheme="majorHAnsi" w:hAnsiTheme="majorHAnsi"/>
          <w:sz w:val="22"/>
          <w:szCs w:val="20"/>
        </w:rPr>
        <w:t xml:space="preserve">rder in </w:t>
      </w:r>
      <w:proofErr w:type="spellStart"/>
      <w:r w:rsidRPr="007A6E23">
        <w:rPr>
          <w:rFonts w:asciiTheme="majorHAnsi" w:hAnsiTheme="majorHAnsi"/>
          <w:sz w:val="22"/>
          <w:szCs w:val="20"/>
        </w:rPr>
        <w:t>favour</w:t>
      </w:r>
      <w:proofErr w:type="spellEnd"/>
      <w:r w:rsidRPr="007A6E23">
        <w:rPr>
          <w:rFonts w:asciiTheme="majorHAnsi" w:hAnsiTheme="majorHAnsi"/>
          <w:sz w:val="22"/>
          <w:szCs w:val="20"/>
        </w:rPr>
        <w:t xml:space="preserve"> of </w:t>
      </w:r>
      <w:r w:rsidRPr="007A6E23">
        <w:rPr>
          <w:rFonts w:asciiTheme="majorHAnsi" w:hAnsiTheme="majorHAnsi"/>
          <w:b/>
          <w:sz w:val="22"/>
          <w:szCs w:val="20"/>
        </w:rPr>
        <w:t>Senior Manager (Finance) PTCL QTR</w:t>
      </w:r>
      <w:r>
        <w:rPr>
          <w:rFonts w:asciiTheme="majorHAnsi" w:hAnsiTheme="majorHAnsi"/>
          <w:b/>
          <w:sz w:val="22"/>
          <w:szCs w:val="20"/>
        </w:rPr>
        <w:t>,</w:t>
      </w:r>
      <w:r w:rsidRPr="007A6E23">
        <w:rPr>
          <w:rFonts w:asciiTheme="majorHAnsi" w:hAnsiTheme="majorHAnsi"/>
          <w:b/>
          <w:sz w:val="22"/>
          <w:szCs w:val="20"/>
        </w:rPr>
        <w:t xml:space="preserve"> Quetta</w:t>
      </w:r>
      <w:r>
        <w:rPr>
          <w:rFonts w:asciiTheme="majorHAnsi" w:hAnsiTheme="majorHAnsi"/>
          <w:b/>
          <w:sz w:val="22"/>
          <w:szCs w:val="20"/>
        </w:rPr>
        <w:t>.</w:t>
      </w:r>
      <w:r w:rsidRPr="007A6E23">
        <w:rPr>
          <w:rFonts w:asciiTheme="majorHAnsi" w:hAnsiTheme="majorHAnsi"/>
          <w:sz w:val="22"/>
          <w:szCs w:val="20"/>
        </w:rPr>
        <w:t xml:space="preserve"> up to </w:t>
      </w:r>
      <w:r w:rsidR="005B652F">
        <w:rPr>
          <w:rFonts w:asciiTheme="majorHAnsi" w:hAnsiTheme="majorHAnsi"/>
          <w:sz w:val="22"/>
          <w:szCs w:val="20"/>
        </w:rPr>
        <w:t xml:space="preserve">        </w:t>
      </w:r>
      <w:bookmarkStart w:id="0" w:name="_GoBack"/>
      <w:bookmarkEnd w:id="0"/>
      <w:r w:rsidRPr="007A6E23">
        <w:rPr>
          <w:rFonts w:asciiTheme="majorHAnsi" w:hAnsiTheme="majorHAnsi"/>
          <w:b/>
          <w:sz w:val="22"/>
          <w:szCs w:val="20"/>
        </w:rPr>
        <w:t>18-02-2019</w:t>
      </w:r>
      <w:r>
        <w:rPr>
          <w:rFonts w:asciiTheme="majorHAnsi" w:hAnsiTheme="majorHAnsi"/>
          <w:b/>
          <w:sz w:val="22"/>
          <w:szCs w:val="20"/>
        </w:rPr>
        <w:t>.</w:t>
      </w:r>
    </w:p>
    <w:p w:rsidR="007A6E23" w:rsidRPr="00552E9C" w:rsidRDefault="007A6E23" w:rsidP="007A6E23">
      <w:pPr>
        <w:pStyle w:val="ListParagraph"/>
        <w:ind w:left="360"/>
        <w:rPr>
          <w:rFonts w:asciiTheme="majorHAnsi" w:hAnsiTheme="majorHAnsi"/>
          <w:sz w:val="22"/>
          <w:szCs w:val="20"/>
        </w:rPr>
      </w:pPr>
    </w:p>
    <w:p w:rsidR="000B05AB" w:rsidRDefault="007A6E23" w:rsidP="000B05A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0"/>
        </w:rPr>
      </w:pPr>
      <w:r w:rsidRPr="007A6E23">
        <w:rPr>
          <w:rFonts w:asciiTheme="majorHAnsi" w:hAnsiTheme="majorHAnsi"/>
          <w:sz w:val="22"/>
          <w:szCs w:val="20"/>
        </w:rPr>
        <w:t xml:space="preserve">Last date of submission of bid </w:t>
      </w:r>
      <w:r>
        <w:rPr>
          <w:rFonts w:asciiTheme="majorHAnsi" w:hAnsiTheme="majorHAnsi"/>
          <w:sz w:val="22"/>
          <w:szCs w:val="20"/>
        </w:rPr>
        <w:t>is</w:t>
      </w:r>
      <w:r w:rsidRPr="007A6E23">
        <w:rPr>
          <w:rFonts w:asciiTheme="majorHAnsi" w:hAnsiTheme="majorHAnsi"/>
          <w:sz w:val="22"/>
          <w:szCs w:val="20"/>
        </w:rPr>
        <w:t xml:space="preserve"> </w:t>
      </w:r>
      <w:r w:rsidRPr="007A6E23">
        <w:rPr>
          <w:rFonts w:asciiTheme="majorHAnsi" w:hAnsiTheme="majorHAnsi"/>
          <w:b/>
          <w:sz w:val="22"/>
          <w:szCs w:val="20"/>
        </w:rPr>
        <w:t>19-02-2018</w:t>
      </w:r>
      <w:r w:rsidRPr="007A6E23">
        <w:rPr>
          <w:rFonts w:asciiTheme="majorHAnsi" w:hAnsiTheme="majorHAnsi"/>
          <w:sz w:val="22"/>
          <w:szCs w:val="20"/>
        </w:rPr>
        <w:t xml:space="preserve"> in the Office of Manager Admin, Room No.225 Admin Block Mir Jaffar Khan Jam</w:t>
      </w:r>
      <w:r>
        <w:rPr>
          <w:rFonts w:asciiTheme="majorHAnsi" w:hAnsiTheme="majorHAnsi"/>
          <w:sz w:val="22"/>
          <w:szCs w:val="20"/>
        </w:rPr>
        <w:t>a</w:t>
      </w:r>
      <w:r w:rsidRPr="007A6E23">
        <w:rPr>
          <w:rFonts w:asciiTheme="majorHAnsi" w:hAnsiTheme="majorHAnsi"/>
          <w:sz w:val="22"/>
          <w:szCs w:val="20"/>
        </w:rPr>
        <w:t>li Road Quetta</w:t>
      </w:r>
      <w:r w:rsidR="000B05AB" w:rsidRPr="000B05AB">
        <w:rPr>
          <w:rFonts w:asciiTheme="majorHAnsi" w:hAnsiTheme="majorHAnsi"/>
          <w:sz w:val="22"/>
          <w:szCs w:val="20"/>
        </w:rPr>
        <w:t>.</w:t>
      </w:r>
    </w:p>
    <w:p w:rsidR="00EE339F" w:rsidRPr="00EE339F" w:rsidRDefault="00EE339F" w:rsidP="00EE339F">
      <w:pPr>
        <w:rPr>
          <w:rFonts w:asciiTheme="majorHAnsi" w:hAnsiTheme="majorHAnsi"/>
          <w:sz w:val="22"/>
        </w:rPr>
      </w:pPr>
    </w:p>
    <w:p w:rsidR="00552E9C" w:rsidRDefault="00552E9C" w:rsidP="00552E9C">
      <w:pPr>
        <w:pStyle w:val="Heading3"/>
        <w:numPr>
          <w:ilvl w:val="0"/>
          <w:numId w:val="1"/>
        </w:numPr>
        <w:spacing w:line="240" w:lineRule="auto"/>
        <w:rPr>
          <w:rFonts w:asciiTheme="majorHAnsi" w:hAnsiTheme="majorHAnsi"/>
          <w:b w:val="0"/>
          <w:sz w:val="22"/>
        </w:rPr>
      </w:pPr>
      <w:r w:rsidRPr="00552E9C">
        <w:rPr>
          <w:rFonts w:asciiTheme="majorHAnsi" w:hAnsiTheme="majorHAnsi"/>
          <w:b w:val="0"/>
          <w:sz w:val="22"/>
        </w:rPr>
        <w:t>Bids received after the above deadline shall not be accepted and be returned unopened. Bids through Email/Fax/Courier shall not be accepted.</w:t>
      </w:r>
    </w:p>
    <w:p w:rsidR="00EE339F" w:rsidRPr="00EE339F" w:rsidRDefault="00EE339F" w:rsidP="00EE339F"/>
    <w:p w:rsidR="00DB4ED6" w:rsidRDefault="00EE339F" w:rsidP="00BA7EFE">
      <w:pPr>
        <w:pStyle w:val="Heading3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2"/>
          <w:szCs w:val="20"/>
        </w:rPr>
      </w:pPr>
      <w:r w:rsidRPr="00EE339F">
        <w:rPr>
          <w:rFonts w:asciiTheme="majorHAnsi" w:hAnsiTheme="majorHAnsi"/>
          <w:b w:val="0"/>
          <w:sz w:val="22"/>
          <w:szCs w:val="20"/>
        </w:rPr>
        <w:t>Bidder must mention their Bidder Registration code on offer. In case Bidder is not registered, then registration must be done before the issuance of Letter of Award/Intent</w:t>
      </w:r>
      <w:r w:rsidR="00DB4ED6" w:rsidRPr="00A175DB">
        <w:rPr>
          <w:rFonts w:asciiTheme="majorHAnsi" w:hAnsiTheme="majorHAnsi"/>
          <w:b w:val="0"/>
          <w:sz w:val="22"/>
          <w:szCs w:val="20"/>
        </w:rPr>
        <w:t>. VR forms may be dow</w:t>
      </w:r>
      <w:r w:rsidR="002172CB" w:rsidRPr="00A175DB">
        <w:rPr>
          <w:rFonts w:asciiTheme="majorHAnsi" w:hAnsiTheme="majorHAnsi"/>
          <w:b w:val="0"/>
          <w:sz w:val="22"/>
          <w:szCs w:val="20"/>
        </w:rPr>
        <w:t xml:space="preserve">nloaded from the following link: </w:t>
      </w:r>
      <w:hyperlink r:id="rId6" w:history="1">
        <w:r w:rsidR="00DB4ED6" w:rsidRPr="00A175DB">
          <w:rPr>
            <w:rStyle w:val="Hyperlink"/>
            <w:rFonts w:asciiTheme="majorHAnsi" w:hAnsiTheme="majorHAnsi"/>
            <w:sz w:val="22"/>
            <w:szCs w:val="20"/>
          </w:rPr>
          <w:t>https://ptcl.com.pk/Info/Vendor-Registration-Form</w:t>
        </w:r>
      </w:hyperlink>
      <w:r w:rsidR="00DB4ED6" w:rsidRPr="00A175DB">
        <w:rPr>
          <w:rFonts w:asciiTheme="majorHAnsi" w:hAnsiTheme="majorHAnsi"/>
          <w:sz w:val="22"/>
          <w:szCs w:val="20"/>
        </w:rPr>
        <w:tab/>
      </w:r>
    </w:p>
    <w:p w:rsidR="00EE339F" w:rsidRPr="00EE339F" w:rsidRDefault="00EE339F" w:rsidP="00EE339F"/>
    <w:p w:rsidR="00DB4ED6" w:rsidRDefault="00DB4ED6" w:rsidP="00DB4ED6">
      <w:pPr>
        <w:pStyle w:val="BodyText"/>
        <w:numPr>
          <w:ilvl w:val="0"/>
          <w:numId w:val="1"/>
        </w:numPr>
        <w:tabs>
          <w:tab w:val="clear" w:pos="3259"/>
        </w:tabs>
        <w:spacing w:line="240" w:lineRule="auto"/>
        <w:jc w:val="both"/>
        <w:rPr>
          <w:rFonts w:asciiTheme="majorHAnsi" w:hAnsiTheme="majorHAnsi"/>
          <w:sz w:val="22"/>
          <w:szCs w:val="20"/>
        </w:rPr>
      </w:pPr>
      <w:r w:rsidRPr="00A175DB">
        <w:rPr>
          <w:rFonts w:asciiTheme="majorHAnsi" w:hAnsiTheme="majorHAnsi"/>
          <w:sz w:val="22"/>
          <w:szCs w:val="20"/>
        </w:rPr>
        <w:t xml:space="preserve">PTCL reserves the right to </w:t>
      </w:r>
      <w:r w:rsidR="002172CB" w:rsidRPr="00A175DB">
        <w:rPr>
          <w:rFonts w:asciiTheme="majorHAnsi" w:hAnsiTheme="majorHAnsi"/>
          <w:sz w:val="22"/>
          <w:szCs w:val="20"/>
        </w:rPr>
        <w:t>accept/</w:t>
      </w:r>
      <w:r w:rsidRPr="00A175DB">
        <w:rPr>
          <w:rFonts w:asciiTheme="majorHAnsi" w:hAnsiTheme="majorHAnsi"/>
          <w:sz w:val="22"/>
          <w:szCs w:val="20"/>
        </w:rPr>
        <w:t>reject any or all bids and to annul the bidding process at any time, without thereby incurring any liability to the affected bidder(s) or any obligation</w:t>
      </w:r>
      <w:r w:rsidR="002172CB" w:rsidRPr="00A175DB">
        <w:rPr>
          <w:rFonts w:asciiTheme="majorHAnsi" w:hAnsiTheme="majorHAnsi"/>
          <w:sz w:val="22"/>
          <w:szCs w:val="20"/>
        </w:rPr>
        <w:t>s to inform the affected bidder(s) of the grounds for PTCL’s a</w:t>
      </w:r>
      <w:r w:rsidRPr="00A175DB">
        <w:rPr>
          <w:rFonts w:asciiTheme="majorHAnsi" w:hAnsiTheme="majorHAnsi"/>
          <w:sz w:val="22"/>
          <w:szCs w:val="20"/>
        </w:rPr>
        <w:t>ction.</w:t>
      </w:r>
    </w:p>
    <w:p w:rsidR="00EE339F" w:rsidRPr="00BA7EFE" w:rsidRDefault="00EE339F" w:rsidP="00EE339F">
      <w:pPr>
        <w:pStyle w:val="BodyText"/>
        <w:tabs>
          <w:tab w:val="clear" w:pos="3259"/>
        </w:tabs>
        <w:spacing w:line="240" w:lineRule="auto"/>
        <w:jc w:val="both"/>
        <w:rPr>
          <w:rFonts w:asciiTheme="majorHAnsi" w:hAnsiTheme="majorHAnsi"/>
          <w:sz w:val="22"/>
          <w:szCs w:val="20"/>
        </w:rPr>
      </w:pPr>
    </w:p>
    <w:p w:rsidR="00DB4ED6" w:rsidRPr="00A175DB" w:rsidRDefault="00DB4ED6" w:rsidP="00DB4ED6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0"/>
        </w:rPr>
      </w:pPr>
      <w:r w:rsidRPr="00A175DB">
        <w:rPr>
          <w:rFonts w:asciiTheme="majorHAnsi" w:hAnsiTheme="majorHAnsi"/>
          <w:sz w:val="22"/>
          <w:szCs w:val="20"/>
        </w:rPr>
        <w:t>All correspondence on the subject may be addressed to the undersigned.</w:t>
      </w:r>
    </w:p>
    <w:p w:rsidR="00DB4ED6" w:rsidRPr="008A5CC6" w:rsidRDefault="00DB4ED6" w:rsidP="00DB4ED6">
      <w:pPr>
        <w:jc w:val="both"/>
        <w:rPr>
          <w:rFonts w:asciiTheme="majorHAnsi" w:hAnsiTheme="majorHAnsi"/>
          <w:sz w:val="20"/>
          <w:szCs w:val="20"/>
        </w:rPr>
      </w:pPr>
    </w:p>
    <w:p w:rsidR="00DB4ED6" w:rsidRPr="008A5CC6" w:rsidRDefault="00DB4ED6" w:rsidP="00DB4ED6">
      <w:pPr>
        <w:jc w:val="center"/>
        <w:rPr>
          <w:rFonts w:asciiTheme="majorHAnsi" w:hAnsiTheme="majorHAnsi"/>
          <w:b/>
          <w:sz w:val="20"/>
          <w:szCs w:val="20"/>
        </w:rPr>
      </w:pPr>
    </w:p>
    <w:p w:rsidR="00DB4ED6" w:rsidRPr="008A5CC6" w:rsidRDefault="00DB4ED6" w:rsidP="00DB4ED6">
      <w:pPr>
        <w:jc w:val="center"/>
        <w:rPr>
          <w:rFonts w:asciiTheme="majorHAnsi" w:hAnsiTheme="majorHAnsi"/>
          <w:b/>
          <w:sz w:val="20"/>
          <w:szCs w:val="20"/>
        </w:rPr>
      </w:pPr>
    </w:p>
    <w:p w:rsidR="00B91AC2" w:rsidRPr="00B91AC2" w:rsidRDefault="00552E9C" w:rsidP="00B91AC2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 xml:space="preserve">      </w:t>
      </w:r>
      <w:r w:rsidR="00B91AC2" w:rsidRPr="00B91AC2">
        <w:rPr>
          <w:rFonts w:asciiTheme="majorHAnsi" w:hAnsiTheme="majorHAnsi"/>
          <w:b/>
          <w:sz w:val="28"/>
          <w:szCs w:val="20"/>
        </w:rPr>
        <w:t>Manager Admin</w:t>
      </w:r>
    </w:p>
    <w:p w:rsidR="00B91AC2" w:rsidRPr="00B91AC2" w:rsidRDefault="00B91AC2" w:rsidP="00B91AC2">
      <w:pPr>
        <w:rPr>
          <w:rFonts w:asciiTheme="majorHAnsi" w:hAnsiTheme="majorHAnsi"/>
          <w:szCs w:val="20"/>
        </w:rPr>
      </w:pPr>
      <w:r w:rsidRPr="00B91AC2">
        <w:rPr>
          <w:rFonts w:asciiTheme="majorHAnsi" w:hAnsiTheme="majorHAnsi"/>
          <w:szCs w:val="20"/>
        </w:rPr>
        <w:t xml:space="preserve">      Room No.225, Admin Block </w:t>
      </w:r>
    </w:p>
    <w:p w:rsidR="00B91AC2" w:rsidRPr="00B91AC2" w:rsidRDefault="00B91AC2" w:rsidP="00B91AC2">
      <w:pPr>
        <w:rPr>
          <w:rFonts w:asciiTheme="majorHAnsi" w:hAnsiTheme="majorHAnsi"/>
          <w:szCs w:val="20"/>
        </w:rPr>
      </w:pPr>
      <w:r w:rsidRPr="00B91AC2">
        <w:rPr>
          <w:rFonts w:asciiTheme="majorHAnsi" w:hAnsiTheme="majorHAnsi"/>
          <w:szCs w:val="20"/>
        </w:rPr>
        <w:t xml:space="preserve">      Mir Jaffar Khan Jamali Road, Quetta</w:t>
      </w:r>
    </w:p>
    <w:p w:rsidR="00B91AC2" w:rsidRPr="00B91AC2" w:rsidRDefault="00B91AC2" w:rsidP="00B91AC2">
      <w:pPr>
        <w:rPr>
          <w:rFonts w:asciiTheme="majorHAnsi" w:hAnsiTheme="majorHAnsi"/>
          <w:szCs w:val="20"/>
        </w:rPr>
      </w:pPr>
      <w:r w:rsidRPr="00B91AC2">
        <w:rPr>
          <w:rFonts w:asciiTheme="majorHAnsi" w:hAnsiTheme="majorHAnsi"/>
          <w:szCs w:val="20"/>
        </w:rPr>
        <w:t xml:space="preserve">      Phone</w:t>
      </w:r>
      <w:r>
        <w:rPr>
          <w:rFonts w:asciiTheme="majorHAnsi" w:hAnsiTheme="majorHAnsi"/>
          <w:szCs w:val="20"/>
        </w:rPr>
        <w:t xml:space="preserve">: </w:t>
      </w:r>
      <w:r w:rsidRPr="00B91AC2">
        <w:rPr>
          <w:rFonts w:asciiTheme="majorHAnsi" w:hAnsiTheme="majorHAnsi"/>
          <w:szCs w:val="20"/>
        </w:rPr>
        <w:t>081-2824996 and 081-2821522</w:t>
      </w:r>
    </w:p>
    <w:p w:rsidR="00701A94" w:rsidRPr="00EE339F" w:rsidRDefault="005B652F" w:rsidP="00B91AC2">
      <w:pPr>
        <w:rPr>
          <w:rFonts w:asciiTheme="majorHAnsi" w:hAnsiTheme="majorHAnsi"/>
          <w:szCs w:val="20"/>
        </w:rPr>
      </w:pPr>
    </w:p>
    <w:sectPr w:rsidR="00701A94" w:rsidRPr="00EE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23C6"/>
    <w:multiLevelType w:val="hybridMultilevel"/>
    <w:tmpl w:val="33CED296"/>
    <w:lvl w:ilvl="0" w:tplc="650AA0BA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DC4B5E"/>
    <w:multiLevelType w:val="hybridMultilevel"/>
    <w:tmpl w:val="2924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ED6"/>
    <w:rsid w:val="000B05AB"/>
    <w:rsid w:val="002172CB"/>
    <w:rsid w:val="00324D20"/>
    <w:rsid w:val="005434D8"/>
    <w:rsid w:val="00552E9C"/>
    <w:rsid w:val="005B652F"/>
    <w:rsid w:val="006A3034"/>
    <w:rsid w:val="006F03E8"/>
    <w:rsid w:val="00726342"/>
    <w:rsid w:val="007A6E23"/>
    <w:rsid w:val="007D3184"/>
    <w:rsid w:val="009D5FAE"/>
    <w:rsid w:val="009E18A8"/>
    <w:rsid w:val="00A175DB"/>
    <w:rsid w:val="00B91AC2"/>
    <w:rsid w:val="00BA7EFE"/>
    <w:rsid w:val="00BD21E2"/>
    <w:rsid w:val="00C63342"/>
    <w:rsid w:val="00D577B3"/>
    <w:rsid w:val="00DA11CD"/>
    <w:rsid w:val="00DB1DE7"/>
    <w:rsid w:val="00DB4ED6"/>
    <w:rsid w:val="00EE339F"/>
    <w:rsid w:val="00FA42D5"/>
    <w:rsid w:val="00F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D951"/>
  <w15:chartTrackingRefBased/>
  <w15:docId w15:val="{FCD5EE11-57FC-4992-921F-185275D6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4ED6"/>
    <w:pPr>
      <w:keepNext/>
      <w:widowControl w:val="0"/>
      <w:tabs>
        <w:tab w:val="left" w:pos="2108"/>
      </w:tabs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B4ED6"/>
    <w:pPr>
      <w:keepNext/>
      <w:widowControl w:val="0"/>
      <w:autoSpaceDE w:val="0"/>
      <w:autoSpaceDN w:val="0"/>
      <w:adjustRightInd w:val="0"/>
      <w:spacing w:line="198" w:lineRule="exact"/>
      <w:outlineLvl w:val="2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DB4ED6"/>
    <w:pPr>
      <w:keepNext/>
      <w:widowControl w:val="0"/>
      <w:tabs>
        <w:tab w:val="left" w:pos="1269"/>
        <w:tab w:val="left" w:pos="5799"/>
      </w:tabs>
      <w:autoSpaceDE w:val="0"/>
      <w:autoSpaceDN w:val="0"/>
      <w:adjustRightInd w:val="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E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B4ED6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DB4ED6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DB4ED6"/>
    <w:pPr>
      <w:widowControl w:val="0"/>
      <w:tabs>
        <w:tab w:val="decimal" w:pos="900"/>
        <w:tab w:val="left" w:pos="2052"/>
      </w:tabs>
      <w:autoSpaceDE w:val="0"/>
      <w:autoSpaceDN w:val="0"/>
      <w:adjustRightInd w:val="0"/>
      <w:spacing w:line="238" w:lineRule="exact"/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DB4ED6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DB4ED6"/>
    <w:pPr>
      <w:widowControl w:val="0"/>
      <w:tabs>
        <w:tab w:val="left" w:pos="3259"/>
      </w:tabs>
      <w:autoSpaceDE w:val="0"/>
      <w:autoSpaceDN w:val="0"/>
      <w:adjustRightInd w:val="0"/>
      <w:spacing w:line="402" w:lineRule="exac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DB4ED6"/>
    <w:rPr>
      <w:rFonts w:ascii="Times New Roman" w:eastAsia="Times New Roman" w:hAnsi="Times New Roman" w:cs="Times New Roman"/>
      <w:sz w:val="18"/>
      <w:szCs w:val="24"/>
    </w:rPr>
  </w:style>
  <w:style w:type="character" w:styleId="Hyperlink">
    <w:name w:val="Hyperlink"/>
    <w:basedOn w:val="DefaultParagraphFont"/>
    <w:rsid w:val="00DB4ED6"/>
    <w:rPr>
      <w:color w:val="0000FF"/>
      <w:u w:val="single"/>
    </w:rPr>
  </w:style>
  <w:style w:type="paragraph" w:styleId="ListParagraph">
    <w:name w:val="List Paragraph"/>
    <w:aliases w:val="lp1,List Paragraph1,List Paragraph11,Use Case List Paragraph Char,EOH bullet,Use Case List Paragraph,List Paragraph 1,EOH paragraph,Figure_name"/>
    <w:basedOn w:val="Normal"/>
    <w:link w:val="ListParagraphChar"/>
    <w:uiPriority w:val="34"/>
    <w:qFormat/>
    <w:rsid w:val="00DB4ED6"/>
    <w:pPr>
      <w:ind w:left="720"/>
    </w:pPr>
  </w:style>
  <w:style w:type="character" w:customStyle="1" w:styleId="ListParagraphChar">
    <w:name w:val="List Paragraph Char"/>
    <w:aliases w:val="lp1 Char,List Paragraph1 Char,List Paragraph11 Char,Use Case List Paragraph Char Char,EOH bullet Char,Use Case List Paragraph Char1,List Paragraph 1 Char,EOH paragraph Char,Figure_name Char"/>
    <w:basedOn w:val="DefaultParagraphFont"/>
    <w:link w:val="ListParagraph"/>
    <w:uiPriority w:val="34"/>
    <w:locked/>
    <w:rsid w:val="00DB4ED6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2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cl.com.pk/Info/Vendor-Registration-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Tanvir Ahmad/Manager (Supply Chain)/PTCL</dc:creator>
  <cp:keywords/>
  <dc:description/>
  <cp:lastModifiedBy>Hassan Amar/Management Trainee/PTCL</cp:lastModifiedBy>
  <cp:revision>3</cp:revision>
  <dcterms:created xsi:type="dcterms:W3CDTF">2019-02-07T19:20:00Z</dcterms:created>
  <dcterms:modified xsi:type="dcterms:W3CDTF">2019-02-07T19:23:00Z</dcterms:modified>
</cp:coreProperties>
</file>