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rsidP="00A24408">
      <w:pPr>
        <w:rPr>
          <w:sz w:val="24"/>
          <w:szCs w:val="24"/>
        </w:rPr>
      </w:pPr>
      <w:r>
        <w:rPr>
          <w:sz w:val="24"/>
          <w:szCs w:val="24"/>
        </w:rPr>
        <w:t>No</w:t>
      </w:r>
      <w:r w:rsidR="00551A5E">
        <w:rPr>
          <w:sz w:val="24"/>
          <w:szCs w:val="24"/>
        </w:rPr>
        <w:t>: -</w:t>
      </w:r>
      <w:r w:rsidR="00D724B3">
        <w:rPr>
          <w:sz w:val="24"/>
          <w:szCs w:val="24"/>
        </w:rPr>
        <w:t xml:space="preserve"> Manager (</w:t>
      </w:r>
      <w:r w:rsidR="00F53E9E">
        <w:rPr>
          <w:sz w:val="24"/>
          <w:szCs w:val="24"/>
        </w:rPr>
        <w:t>Electrical)</w:t>
      </w:r>
      <w:r w:rsidR="00CB274D">
        <w:rPr>
          <w:sz w:val="24"/>
          <w:szCs w:val="24"/>
        </w:rPr>
        <w:t>/H/Q/Tenders</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6D6651">
        <w:rPr>
          <w:sz w:val="24"/>
          <w:szCs w:val="24"/>
        </w:rPr>
        <w:t xml:space="preserve"> </w:t>
      </w:r>
      <w:r w:rsidR="00A24408">
        <w:rPr>
          <w:sz w:val="24"/>
          <w:szCs w:val="24"/>
        </w:rPr>
        <w:t>16</w:t>
      </w:r>
      <w:r w:rsidR="003F10CB">
        <w:rPr>
          <w:sz w:val="24"/>
          <w:szCs w:val="24"/>
        </w:rPr>
        <w:t>-</w:t>
      </w:r>
      <w:r w:rsidR="00CB274D">
        <w:rPr>
          <w:sz w:val="24"/>
          <w:szCs w:val="24"/>
        </w:rPr>
        <w:t>0</w:t>
      </w:r>
      <w:r w:rsidR="00A24408">
        <w:rPr>
          <w:sz w:val="24"/>
          <w:szCs w:val="24"/>
        </w:rPr>
        <w:t>9</w:t>
      </w:r>
      <w:r w:rsidR="00FF4440">
        <w:rPr>
          <w:sz w:val="24"/>
          <w:szCs w:val="24"/>
        </w:rPr>
        <w:t>-</w:t>
      </w:r>
      <w:r w:rsidR="004D1E9F">
        <w:rPr>
          <w:sz w:val="24"/>
          <w:szCs w:val="24"/>
        </w:rPr>
        <w:t>202</w:t>
      </w:r>
      <w:r w:rsidR="00CB274D">
        <w:rPr>
          <w:sz w:val="24"/>
          <w:szCs w:val="24"/>
        </w:rPr>
        <w:t>1</w:t>
      </w:r>
      <w:r w:rsidR="00586E16">
        <w:rPr>
          <w:sz w:val="24"/>
          <w:szCs w:val="24"/>
        </w:rPr>
        <w:t xml:space="preserve"> </w:t>
      </w:r>
    </w:p>
    <w:p w:rsidR="004E0894" w:rsidRDefault="004E0894"/>
    <w:p w:rsidR="004E0894" w:rsidRDefault="004E0894"/>
    <w:p w:rsidR="004E0894" w:rsidRDefault="00387CDB" w:rsidP="00220B88">
      <w:pPr>
        <w:ind w:left="1440" w:right="90" w:hanging="1440"/>
        <w:jc w:val="both"/>
        <w:rPr>
          <w:b/>
          <w:sz w:val="26"/>
          <w:u w:val="single"/>
        </w:rPr>
      </w:pPr>
      <w:r>
        <w:rPr>
          <w:sz w:val="26"/>
        </w:rPr>
        <w:t>SUBJECT: -</w:t>
      </w:r>
      <w:r>
        <w:rPr>
          <w:sz w:val="26"/>
        </w:rPr>
        <w:tab/>
      </w:r>
      <w:r w:rsidR="00220B88">
        <w:rPr>
          <w:b/>
          <w:sz w:val="26"/>
          <w:u w:val="single"/>
        </w:rPr>
        <w:t xml:space="preserve">Terms and conditions for tender </w:t>
      </w:r>
      <w:r w:rsidR="00220B88" w:rsidRPr="00220B88">
        <w:rPr>
          <w:b/>
          <w:sz w:val="26"/>
          <w:u w:val="single"/>
        </w:rPr>
        <w:t>preparation of single line diagram Fitness certificate of all exiting working electrical equipment including DG Set, ATS panel power Factor panel, LT panels, HT Panels and DBs installed in PTCL HQs all blocks</w:t>
      </w:r>
      <w:r w:rsidR="00F53E9E" w:rsidRPr="00F53E9E">
        <w:rPr>
          <w:b/>
          <w:sz w:val="26"/>
          <w:u w:val="single"/>
        </w:rPr>
        <w:t>.</w:t>
      </w:r>
    </w:p>
    <w:p w:rsidR="004E0894" w:rsidRDefault="004E0894">
      <w:pPr>
        <w:rPr>
          <w:b/>
          <w:sz w:val="26"/>
          <w:u w:val="single"/>
        </w:rPr>
      </w:pPr>
    </w:p>
    <w:p w:rsidR="004E0894" w:rsidRDefault="00387CDB" w:rsidP="00F53E9E">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 xml:space="preserve">The following terms and conditions are strictly required to be </w:t>
      </w:r>
      <w:r w:rsidR="00F53E9E">
        <w:rPr>
          <w:rFonts w:ascii="Bookman Old Style" w:hAnsi="Bookman Old Style"/>
          <w:sz w:val="26"/>
        </w:rPr>
        <w:t>complies</w:t>
      </w:r>
      <w:r>
        <w:rPr>
          <w:rFonts w:ascii="Bookman Old Style" w:hAnsi="Bookman Old Style"/>
          <w:sz w:val="26"/>
        </w:rPr>
        <w:t xml:space="preserve"> with by the </w:t>
      </w:r>
      <w:r w:rsidR="00F53E9E">
        <w:rPr>
          <w:rFonts w:ascii="Bookman Old Style" w:hAnsi="Bookman Old Style"/>
          <w:sz w:val="26"/>
        </w:rPr>
        <w:t>Electrical</w:t>
      </w:r>
      <w:r>
        <w:rPr>
          <w:rFonts w:ascii="Bookman Old Style" w:hAnsi="Bookman Old Style"/>
          <w:sz w:val="26"/>
        </w:rPr>
        <w:t xml:space="preserve">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F53E9E">
        <w:rPr>
          <w:rFonts w:ascii="Bookman Old Style" w:hAnsi="Bookman Old Style"/>
          <w:sz w:val="26"/>
        </w:rPr>
        <w:t>2021</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4E0894" w:rsidRDefault="00387CDB" w:rsidP="00A24408">
      <w:pPr>
        <w:ind w:left="810" w:right="90"/>
        <w:jc w:val="both"/>
        <w:rPr>
          <w:b/>
          <w:sz w:val="26"/>
          <w:u w:val="single"/>
        </w:rPr>
      </w:pPr>
      <w:r>
        <w:rPr>
          <w:rFonts w:ascii="Bookman Old Style" w:hAnsi="Bookman Old Style"/>
          <w:sz w:val="26"/>
        </w:rPr>
        <w:t>All contractors will enclose ban</w:t>
      </w:r>
      <w:r w:rsidR="006D6651">
        <w:rPr>
          <w:rFonts w:ascii="Bookman Old Style" w:hAnsi="Bookman Old Style"/>
          <w:sz w:val="26"/>
        </w:rPr>
        <w:t xml:space="preserve">k draft/pay order of fixed Rs. </w:t>
      </w:r>
      <w:r w:rsidR="00220B88">
        <w:rPr>
          <w:rFonts w:ascii="Bookman Old Style" w:hAnsi="Bookman Old Style"/>
          <w:sz w:val="26"/>
        </w:rPr>
        <w:t>2</w:t>
      </w:r>
      <w:r w:rsidR="003F10CB">
        <w:rPr>
          <w:rFonts w:ascii="Bookman Old Style" w:hAnsi="Bookman Old Style"/>
          <w:sz w:val="26"/>
        </w:rPr>
        <w:t>0,000/- (Rupees Twenty</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220B88" w:rsidRPr="00220B88">
        <w:rPr>
          <w:b/>
          <w:sz w:val="26"/>
          <w:u w:val="single"/>
        </w:rPr>
        <w:t>preparation of single line diagram</w:t>
      </w:r>
      <w:r w:rsidR="00162502">
        <w:rPr>
          <w:b/>
          <w:sz w:val="26"/>
          <w:u w:val="single"/>
        </w:rPr>
        <w:t>,</w:t>
      </w:r>
      <w:r w:rsidR="00220B88" w:rsidRPr="00220B88">
        <w:rPr>
          <w:b/>
          <w:sz w:val="26"/>
          <w:u w:val="single"/>
        </w:rPr>
        <w:t xml:space="preserve"> Fitness certificate of all </w:t>
      </w:r>
      <w:r w:rsidR="00162502">
        <w:rPr>
          <w:b/>
          <w:sz w:val="26"/>
          <w:u w:val="single"/>
        </w:rPr>
        <w:t xml:space="preserve">installed </w:t>
      </w:r>
      <w:r w:rsidR="00220B88" w:rsidRPr="00220B88">
        <w:rPr>
          <w:b/>
          <w:sz w:val="26"/>
          <w:u w:val="single"/>
        </w:rPr>
        <w:t xml:space="preserve"> electrical e</w:t>
      </w:r>
      <w:r w:rsidR="00162502">
        <w:rPr>
          <w:b/>
          <w:sz w:val="26"/>
          <w:u w:val="single"/>
        </w:rPr>
        <w:t>quipment including DG Set, ATS Panel P</w:t>
      </w:r>
      <w:r w:rsidR="00220B88" w:rsidRPr="00220B88">
        <w:rPr>
          <w:b/>
          <w:sz w:val="26"/>
          <w:u w:val="single"/>
        </w:rPr>
        <w:t>ower Factor panel, LT panels, HT Panels and DBs installed in PTCL HQs all blocks</w:t>
      </w:r>
      <w:r w:rsidR="00F53E9E">
        <w:rPr>
          <w:b/>
          <w:sz w:val="26"/>
          <w:u w:val="single"/>
        </w:rPr>
        <w:t>)</w:t>
      </w:r>
      <w:r w:rsidR="006D6651">
        <w:rPr>
          <w:b/>
          <w:sz w:val="26"/>
          <w:u w:val="single"/>
        </w:rPr>
        <w:t>.</w:t>
      </w:r>
    </w:p>
    <w:p w:rsidR="00A24408" w:rsidRPr="006D6651" w:rsidRDefault="00A24408" w:rsidP="00A24408">
      <w:pPr>
        <w:ind w:left="810" w:right="90"/>
        <w:jc w:val="both"/>
        <w:rPr>
          <w:b/>
          <w:sz w:val="26"/>
          <w:u w:val="single"/>
        </w:rPr>
      </w:pPr>
    </w:p>
    <w:p w:rsidR="004E0894" w:rsidRDefault="000C0419" w:rsidP="000C0419">
      <w:pPr>
        <w:numPr>
          <w:ilvl w:val="0"/>
          <w:numId w:val="1"/>
        </w:numPr>
        <w:spacing w:line="360" w:lineRule="auto"/>
        <w:jc w:val="both"/>
        <w:rPr>
          <w:rFonts w:ascii="Bookman Old Style" w:hAnsi="Bookman Old Style"/>
          <w:sz w:val="26"/>
        </w:rPr>
      </w:pPr>
      <w:r w:rsidRPr="000C0419">
        <w:rPr>
          <w:rFonts w:ascii="Bookman Old Style" w:hAnsi="Bookman Old Style"/>
          <w:sz w:val="26"/>
        </w:rPr>
        <w:t>The contractor shall be bound to carry out the additional work, which is not covered in the approved BOQ. Payment w</w:t>
      </w:r>
      <w:r>
        <w:rPr>
          <w:rFonts w:ascii="Bookman Old Style" w:hAnsi="Bookman Old Style"/>
          <w:sz w:val="26"/>
        </w:rPr>
        <w:t xml:space="preserve">ill be made on the same quoted </w:t>
      </w:r>
      <w:r w:rsidRPr="000C0419">
        <w:rPr>
          <w:rFonts w:ascii="Bookman Old Style" w:hAnsi="Bookman Old Style"/>
          <w:sz w:val="26"/>
        </w:rPr>
        <w:t xml:space="preserve">by the contractor and approved by the tender </w:t>
      </w:r>
      <w:r w:rsidRPr="000C0419">
        <w:rPr>
          <w:rFonts w:ascii="Bookman Old Style" w:hAnsi="Bookman Old Style"/>
          <w:sz w:val="26"/>
        </w:rPr>
        <w:lastRenderedPageBreak/>
        <w:t>committee.</w:t>
      </w:r>
      <w:r>
        <w:rPr>
          <w:rFonts w:ascii="Bookman Old Style" w:hAnsi="Bookman Old Style"/>
          <w:sz w:val="26"/>
        </w:rPr>
        <w:t xml:space="preserve"> </w:t>
      </w:r>
      <w:r w:rsidR="00387CDB">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sidR="00387CDB">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rsidP="00BF1609">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payment to the contractor shall be made after the final technical inspection and verification by the concerned </w:t>
      </w:r>
      <w:r w:rsidR="00BF1609">
        <w:rPr>
          <w:rFonts w:ascii="Bookman Old Style" w:hAnsi="Bookman Old Style"/>
          <w:sz w:val="26"/>
        </w:rPr>
        <w:t>A.M</w:t>
      </w:r>
      <w:r>
        <w:rPr>
          <w:rFonts w:ascii="Bookman Old Style" w:hAnsi="Bookman Old Style"/>
          <w:sz w:val="26"/>
        </w:rPr>
        <w:t xml:space="preserve">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F1609">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PTCL shall not make any payment(s) to the contractor without acceptance of the completion reports supplied by the contractor, to the effect that the </w:t>
      </w:r>
      <w:r w:rsidR="00383F45">
        <w:rPr>
          <w:rFonts w:ascii="Bookman Old Style" w:hAnsi="Bookman Old Style"/>
          <w:sz w:val="26"/>
        </w:rPr>
        <w:t xml:space="preserve">replacement and maintenance work(s) has </w:t>
      </w:r>
      <w:r w:rsidRPr="00BE6D31">
        <w:rPr>
          <w:rFonts w:ascii="Bookman Old Style" w:hAnsi="Bookman Old Style"/>
          <w:sz w:val="26"/>
        </w:rPr>
        <w:t xml:space="preserve">been completed to the entire satisfaction of the PTCL and the same is inspected and duly verified by the </w:t>
      </w:r>
      <w:r w:rsidR="00BF1609">
        <w:rPr>
          <w:rFonts w:ascii="Bookman Old Style" w:hAnsi="Bookman Old Style"/>
          <w:sz w:val="26"/>
        </w:rPr>
        <w:t>A.M</w:t>
      </w:r>
      <w:r w:rsidRPr="00BE6D31">
        <w:rPr>
          <w:rFonts w:ascii="Bookman Old Style" w:hAnsi="Bookman Old Style"/>
          <w:sz w:val="26"/>
        </w:rPr>
        <w:t xml:space="preserve"> (</w:t>
      </w:r>
      <w:r w:rsidR="00383F45">
        <w:rPr>
          <w:rFonts w:ascii="Bookman Old Style" w:hAnsi="Bookman Old Style"/>
          <w:sz w:val="26"/>
        </w:rPr>
        <w:t>Electrical</w:t>
      </w:r>
      <w:r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w:t>
      </w:r>
      <w:r w:rsidR="00383F45">
        <w:rPr>
          <w:rFonts w:ascii="Bookman Old Style" w:hAnsi="Bookman Old Style"/>
          <w:sz w:val="26"/>
        </w:rPr>
        <w:t xml:space="preserve">pt or reject any </w:t>
      </w:r>
      <w:r w:rsidR="000C0419">
        <w:rPr>
          <w:rFonts w:ascii="Bookman Old Style" w:hAnsi="Bookman Old Style"/>
          <w:sz w:val="26"/>
        </w:rPr>
        <w:t xml:space="preserve">part of </w:t>
      </w:r>
      <w:r w:rsidR="00383F45">
        <w:rPr>
          <w:rFonts w:ascii="Bookman Old Style" w:hAnsi="Bookman Old Style"/>
          <w:sz w:val="26"/>
        </w:rPr>
        <w:t>tender or all t</w:t>
      </w:r>
      <w:r w:rsidRPr="00BE6D31">
        <w:rPr>
          <w:rFonts w:ascii="Bookman Old Style" w:hAnsi="Bookman Old Style"/>
          <w:sz w:val="26"/>
        </w:rPr>
        <w:t xml:space="preserve">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w:t>
      </w:r>
      <w:r w:rsidR="000C0419">
        <w:rPr>
          <w:rFonts w:ascii="Bookman Old Style" w:hAnsi="Bookman Old Style"/>
          <w:sz w:val="26"/>
        </w:rPr>
        <w:t xml:space="preserve">shall </w:t>
      </w:r>
      <w:r w:rsidRPr="00BE6D31">
        <w:rPr>
          <w:rFonts w:ascii="Bookman Old Style" w:hAnsi="Bookman Old Style"/>
          <w:sz w:val="26"/>
        </w:rPr>
        <w:t>be bound to comply with the work ord</w:t>
      </w:r>
      <w:r w:rsidR="00383F45">
        <w:rPr>
          <w:rFonts w:ascii="Bookman Old Style" w:hAnsi="Bookman Old Style"/>
          <w:sz w:val="26"/>
        </w:rPr>
        <w:t>er delivered after approval of t</w:t>
      </w:r>
      <w:r w:rsidRPr="00BE6D31">
        <w:rPr>
          <w:rFonts w:ascii="Bookman Old Style" w:hAnsi="Bookman Old Style"/>
          <w:sz w:val="26"/>
        </w:rPr>
        <w:t xml:space="preserve">ender. A penalty of 0.5% of the contract value per day will be imposed if the contractor fails to </w:t>
      </w:r>
      <w:r w:rsidRPr="00BE6D31">
        <w:rPr>
          <w:rFonts w:ascii="Bookman Old Style" w:hAnsi="Bookman Old Style"/>
          <w:sz w:val="26"/>
        </w:rPr>
        <w:lastRenderedPageBreak/>
        <w:t>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383F45">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53510">
        <w:rPr>
          <w:rFonts w:ascii="Bookman Old Style" w:hAnsi="Bookman Old Style"/>
          <w:sz w:val="26"/>
        </w:rPr>
        <w:t>202</w:t>
      </w:r>
      <w:r w:rsidR="00383F45">
        <w:rPr>
          <w:rFonts w:ascii="Bookman Old Style" w:hAnsi="Bookman Old Style"/>
          <w:sz w:val="26"/>
        </w:rPr>
        <w:t>1</w:t>
      </w:r>
      <w:r w:rsidR="00A53510">
        <w:rPr>
          <w:rFonts w:ascii="Bookman Old Style" w:hAnsi="Bookman Old Style"/>
          <w:sz w:val="26"/>
        </w:rPr>
        <w:t>/2</w:t>
      </w:r>
      <w:r w:rsidR="00383F45">
        <w:rPr>
          <w:rFonts w:ascii="Bookman Old Style" w:hAnsi="Bookman Old Style"/>
          <w:sz w:val="26"/>
        </w:rPr>
        <w:t>2</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383F45">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w:t>
      </w:r>
      <w:r w:rsidR="00383F45">
        <w:rPr>
          <w:rFonts w:ascii="Bookman Old Style" w:hAnsi="Bookman Old Style"/>
          <w:sz w:val="26"/>
        </w:rPr>
        <w:t>lacement</w:t>
      </w:r>
      <w:r w:rsidR="00EC26BC" w:rsidRPr="00BE6D31">
        <w:rPr>
          <w:rFonts w:ascii="Bookman Old Style" w:hAnsi="Bookman Old Style"/>
          <w:sz w:val="26"/>
        </w:rPr>
        <w:t xml:space="preserve">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w:t>
      </w:r>
      <w:r w:rsidR="00383F45">
        <w:rPr>
          <w:rFonts w:ascii="Bookman Old Style" w:hAnsi="Bookman Old Style"/>
          <w:sz w:val="26"/>
        </w:rPr>
        <w:t>Electrical</w:t>
      </w:r>
      <w:r w:rsidRPr="00BE6D31">
        <w:rPr>
          <w:rFonts w:ascii="Bookman Old Style" w:hAnsi="Bookman Old Style"/>
          <w:sz w:val="26"/>
        </w:rPr>
        <w:t>)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CC2AB4" w:rsidP="00CC2AB4">
      <w:pPr>
        <w:numPr>
          <w:ilvl w:val="0"/>
          <w:numId w:val="1"/>
        </w:numPr>
        <w:spacing w:line="360" w:lineRule="auto"/>
        <w:jc w:val="both"/>
        <w:rPr>
          <w:rFonts w:ascii="Bookman Old Style" w:hAnsi="Bookman Old Style"/>
          <w:sz w:val="26"/>
        </w:rPr>
      </w:pPr>
      <w:r w:rsidRPr="00CC2AB4">
        <w:rPr>
          <w:rFonts w:ascii="Bookman Old Style" w:hAnsi="Bookman Old Style"/>
          <w:sz w:val="26"/>
        </w:rPr>
        <w:t>18.</w:t>
      </w:r>
      <w:r w:rsidRPr="00CC2AB4">
        <w:rPr>
          <w:rFonts w:ascii="Bookman Old Style" w:hAnsi="Bookman Old Style"/>
          <w:sz w:val="26"/>
        </w:rPr>
        <w:tab/>
        <w:t>The supply items which were not mentioned in the tender, Supply List provided by the Manager (Electrical) PTCL H/Q at the time of the tender opening shall be paid for on the prevailing market rates at that</w:t>
      </w:r>
      <w:r>
        <w:rPr>
          <w:rFonts w:ascii="Bookman Old Style" w:hAnsi="Bookman Old Style"/>
          <w:sz w:val="26"/>
        </w:rPr>
        <w:t xml:space="preserve"> </w:t>
      </w:r>
      <w:r w:rsidRPr="00CC2AB4">
        <w:rPr>
          <w:rFonts w:ascii="Bookman Old Style" w:hAnsi="Bookman Old Style"/>
          <w:sz w:val="26"/>
        </w:rPr>
        <w:t>time.</w:t>
      </w:r>
      <w:r>
        <w:rPr>
          <w:rFonts w:ascii="Bookman Old Style" w:hAnsi="Bookman Old Style"/>
          <w:sz w:val="26"/>
        </w:rPr>
        <w:t xml:space="preserve"> C</w:t>
      </w:r>
      <w:r w:rsidR="00387CDB" w:rsidRPr="00BE6D31">
        <w:rPr>
          <w:rFonts w:ascii="Bookman Old Style" w:hAnsi="Bookman Old Style"/>
          <w:sz w:val="26"/>
        </w:rPr>
        <w:t xml:space="preserve">ontractor is bound to purchase all approved items </w:t>
      </w:r>
      <w:r w:rsidR="00110E21" w:rsidRPr="00971A25">
        <w:rPr>
          <w:sz w:val="26"/>
          <w:szCs w:val="26"/>
          <w:lang w:val="en-GB"/>
        </w:rPr>
        <w:t>(Pakistan/ Fa</w:t>
      </w:r>
      <w:r w:rsidR="00110E21">
        <w:rPr>
          <w:sz w:val="26"/>
          <w:szCs w:val="26"/>
          <w:lang w:val="en-GB"/>
        </w:rPr>
        <w:t xml:space="preserve">st Cables, Clipsal/ Schneider) as per PTCL </w:t>
      </w:r>
      <w:r>
        <w:rPr>
          <w:sz w:val="26"/>
          <w:szCs w:val="26"/>
          <w:lang w:val="en-GB"/>
        </w:rPr>
        <w:t>Standards</w:t>
      </w:r>
      <w:r w:rsidR="00387CDB" w:rsidRPr="00BE6D31">
        <w:rPr>
          <w:rFonts w:ascii="Bookman Old Style" w:hAnsi="Bookman Old Style"/>
          <w:sz w:val="26"/>
        </w:rPr>
        <w:t xml:space="preserve"> and other products from authorized dealers, </w:t>
      </w:r>
      <w:r w:rsidR="00387CDB" w:rsidRPr="00BE6D31">
        <w:rPr>
          <w:rFonts w:ascii="Bookman Old Style" w:hAnsi="Bookman Old Style"/>
          <w:sz w:val="26"/>
        </w:rPr>
        <w:lastRenderedPageBreak/>
        <w:t>out</w:t>
      </w:r>
      <w:r w:rsidR="003D77A3">
        <w:rPr>
          <w:rFonts w:ascii="Bookman Old Style" w:hAnsi="Bookman Old Style"/>
          <w:sz w:val="26"/>
        </w:rPr>
        <w:t>lets and / or suppliers of well-</w:t>
      </w:r>
      <w:r w:rsidR="003D77A3" w:rsidRPr="00BE6D31">
        <w:rPr>
          <w:rFonts w:ascii="Bookman Old Style" w:hAnsi="Bookman Old Style"/>
          <w:sz w:val="26"/>
        </w:rPr>
        <w:t>known</w:t>
      </w:r>
      <w:r w:rsidR="00387CDB" w:rsidRPr="00BE6D31">
        <w:rPr>
          <w:rFonts w:ascii="Bookman Old Style" w:hAnsi="Bookman Old Style"/>
          <w:sz w:val="26"/>
        </w:rPr>
        <w:t xml:space="preserve"> and branded companies. {Subject to the prior approval and acceptance of PTCL}.</w:t>
      </w:r>
      <w:r w:rsidR="00110E21">
        <w:rPr>
          <w:rFonts w:ascii="Bookman Old Style" w:hAnsi="Bookman Old Style"/>
          <w:sz w:val="26"/>
        </w:rPr>
        <w:t xml:space="preserve"> </w:t>
      </w:r>
    </w:p>
    <w:p w:rsidR="00BE6D31" w:rsidRDefault="00387CDB" w:rsidP="00BF1609">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w:t>
      </w:r>
      <w:r w:rsidR="00110E21">
        <w:rPr>
          <w:rFonts w:ascii="Bookman Old Style" w:hAnsi="Bookman Old Style"/>
          <w:sz w:val="26"/>
        </w:rPr>
        <w:t>t</w:t>
      </w:r>
      <w:r w:rsidRPr="00BE6D31">
        <w:rPr>
          <w:rFonts w:ascii="Bookman Old Style" w:hAnsi="Bookman Old Style"/>
          <w:sz w:val="26"/>
        </w:rPr>
        <w:t xml:space="preserve">ender document. In case of dispute between contractor and any supervisory officer(s) of this Division, the decision of the </w:t>
      </w:r>
      <w:r w:rsidR="00110E21">
        <w:rPr>
          <w:rFonts w:ascii="Bookman Old Style" w:hAnsi="Bookman Old Style"/>
          <w:sz w:val="26"/>
        </w:rPr>
        <w:t xml:space="preserve">Head of </w:t>
      </w:r>
      <w:r w:rsidRPr="00BE6D31">
        <w:rPr>
          <w:rFonts w:ascii="Bookman Old Style" w:hAnsi="Bookman Old Style"/>
          <w:sz w:val="26"/>
        </w:rPr>
        <w:t>(M</w:t>
      </w:r>
      <w:r w:rsidR="00110E21">
        <w:rPr>
          <w:rFonts w:ascii="Bookman Old Style" w:hAnsi="Bookman Old Style"/>
          <w:sz w:val="26"/>
        </w:rPr>
        <w:t>&amp;SS</w:t>
      </w:r>
      <w:r w:rsidRPr="00BE6D31">
        <w:rPr>
          <w:rFonts w:ascii="Bookman Old Style" w:hAnsi="Bookman Old Style"/>
          <w:sz w:val="26"/>
        </w:rPr>
        <w:t xml:space="preserve">) PTCL H/Q will be final. In the event that the contractor violates/commits breach of any terms and conditions of this contract the </w:t>
      </w:r>
      <w:r w:rsidR="00BF1609">
        <w:rPr>
          <w:rFonts w:ascii="Bookman Old Style" w:hAnsi="Bookman Old Style"/>
          <w:sz w:val="26"/>
        </w:rPr>
        <w:t xml:space="preserve">Sr. </w:t>
      </w:r>
      <w:r w:rsidRPr="00BE6D31">
        <w:rPr>
          <w:rFonts w:ascii="Bookman Old Style" w:hAnsi="Bookman Old Style"/>
          <w:sz w:val="26"/>
        </w:rPr>
        <w:t>Manager (</w:t>
      </w:r>
      <w:r w:rsidR="00BF1609">
        <w:rPr>
          <w:rFonts w:ascii="Bookman Old Style" w:hAnsi="Bookman Old Style"/>
          <w:sz w:val="26"/>
        </w:rPr>
        <w:t>Mtce</w:t>
      </w:r>
      <w:r w:rsidR="00110E21">
        <w:rPr>
          <w:rFonts w:ascii="Bookman Old Style" w:hAnsi="Bookman Old Style"/>
          <w:sz w:val="26"/>
        </w:rPr>
        <w:t>) PTCL H</w:t>
      </w:r>
      <w:r w:rsidRPr="00BE6D31">
        <w:rPr>
          <w:rFonts w:ascii="Bookman Old Style" w:hAnsi="Bookman Old Style"/>
          <w:sz w:val="26"/>
        </w:rPr>
        <w:t>Q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BF1609">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w:t>
      </w:r>
      <w:r w:rsidR="00110E21">
        <w:rPr>
          <w:rFonts w:ascii="Bookman Old Style" w:hAnsi="Bookman Old Style"/>
          <w:sz w:val="26"/>
        </w:rPr>
        <w:t xml:space="preserve">shall be delivered on or before </w:t>
      </w:r>
      <w:r w:rsidR="00712C08">
        <w:rPr>
          <w:rFonts w:ascii="Bookman Old Style" w:hAnsi="Bookman Old Style"/>
          <w:b/>
          <w:sz w:val="26"/>
        </w:rPr>
        <w:t>10</w:t>
      </w:r>
      <w:r w:rsidR="003D77A3" w:rsidRPr="00616C2A">
        <w:rPr>
          <w:rFonts w:ascii="Bookman Old Style" w:hAnsi="Bookman Old Style"/>
          <w:b/>
          <w:sz w:val="26"/>
        </w:rPr>
        <w:t>-</w:t>
      </w:r>
      <w:r w:rsidR="00712C08">
        <w:rPr>
          <w:rFonts w:ascii="Bookman Old Style" w:hAnsi="Bookman Old Style"/>
          <w:b/>
          <w:sz w:val="26"/>
        </w:rPr>
        <w:t>1</w:t>
      </w:r>
      <w:r w:rsidR="00110E21">
        <w:rPr>
          <w:rFonts w:ascii="Bookman Old Style" w:hAnsi="Bookman Old Style"/>
          <w:b/>
          <w:sz w:val="26"/>
        </w:rPr>
        <w:t>0</w:t>
      </w:r>
      <w:r w:rsidR="004D1E9F">
        <w:rPr>
          <w:rFonts w:ascii="Bookman Old Style" w:hAnsi="Bookman Old Style"/>
          <w:b/>
          <w:sz w:val="26"/>
        </w:rPr>
        <w:t>-202</w:t>
      </w:r>
      <w:r w:rsidR="00110E21">
        <w:rPr>
          <w:rFonts w:ascii="Bookman Old Style" w:hAnsi="Bookman Old Style"/>
          <w:b/>
          <w:sz w:val="26"/>
        </w:rPr>
        <w:t>1</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 xml:space="preserve">G-8/4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bookmarkStart w:id="0" w:name="_GoBack"/>
    <w:bookmarkStart w:id="1" w:name="_MON_1694339876"/>
    <w:bookmarkEnd w:id="1"/>
    <w:p w:rsidR="004E0894" w:rsidRDefault="00F930F2" w:rsidP="00A24408">
      <w:pPr>
        <w:pStyle w:val="BodyText3"/>
        <w:spacing w:line="480" w:lineRule="auto"/>
        <w:ind w:left="-180"/>
        <w:jc w:val="both"/>
        <w:rPr>
          <w:u w:val="single"/>
        </w:rPr>
      </w:pPr>
      <w:r>
        <w:object w:dxaOrig="153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9.5pt" o:ole="">
            <v:imagedata r:id="rId9" o:title=""/>
          </v:shape>
          <o:OLEObject Type="Embed" ProgID="Excel.Sheet.12" ShapeID="_x0000_i1027" DrawAspect="Icon" ObjectID="_1694419419" r:id="rId10"/>
        </w:object>
      </w:r>
      <w:bookmarkEnd w:id="0"/>
    </w:p>
    <w:p w:rsidR="00387CDB" w:rsidRDefault="00387CDB"/>
    <w:p w:rsidR="004332FB" w:rsidRDefault="004332FB"/>
    <w:p w:rsidR="004332FB" w:rsidRDefault="004332FB"/>
    <w:p w:rsidR="004332FB" w:rsidRDefault="004332FB"/>
    <w:p w:rsidR="004332FB" w:rsidRDefault="004332FB"/>
    <w:p w:rsidR="004332FB" w:rsidRDefault="004332FB"/>
    <w:p w:rsidR="004332FB" w:rsidRDefault="004332FB"/>
    <w:p w:rsidR="004332FB" w:rsidRDefault="004332FB"/>
    <w:sectPr w:rsidR="004332FB" w:rsidSect="000E3E7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A9" w:rsidRDefault="00CC1BA9">
      <w:r>
        <w:separator/>
      </w:r>
    </w:p>
  </w:endnote>
  <w:endnote w:type="continuationSeparator" w:id="0">
    <w:p w:rsidR="00CC1BA9" w:rsidRDefault="00CC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F930F2">
      <w:rPr>
        <w:rStyle w:val="PageNumber"/>
        <w:noProof/>
      </w:rPr>
      <w:t>5</w:t>
    </w:r>
    <w:r>
      <w:rPr>
        <w:rStyle w:val="PageNumber"/>
      </w:rPr>
      <w:fldChar w:fldCharType="end"/>
    </w:r>
  </w:p>
  <w:p w:rsidR="004E0894" w:rsidRDefault="004E089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A9" w:rsidRDefault="00CC1BA9">
      <w:r>
        <w:separator/>
      </w:r>
    </w:p>
  </w:footnote>
  <w:footnote w:type="continuationSeparator" w:id="0">
    <w:p w:rsidR="00CC1BA9" w:rsidRDefault="00CC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F2" w:rsidRDefault="00F93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153D"/>
    <w:rsid w:val="00057049"/>
    <w:rsid w:val="00066185"/>
    <w:rsid w:val="000761AD"/>
    <w:rsid w:val="000A420D"/>
    <w:rsid w:val="000A4823"/>
    <w:rsid w:val="000B0C97"/>
    <w:rsid w:val="000C0419"/>
    <w:rsid w:val="000E0165"/>
    <w:rsid w:val="000E3E7A"/>
    <w:rsid w:val="000F15A0"/>
    <w:rsid w:val="00110E21"/>
    <w:rsid w:val="001232A5"/>
    <w:rsid w:val="001332E8"/>
    <w:rsid w:val="00162502"/>
    <w:rsid w:val="00162A18"/>
    <w:rsid w:val="001639C7"/>
    <w:rsid w:val="00175EF3"/>
    <w:rsid w:val="00186EBE"/>
    <w:rsid w:val="0019428D"/>
    <w:rsid w:val="00211BD8"/>
    <w:rsid w:val="00220B88"/>
    <w:rsid w:val="00231273"/>
    <w:rsid w:val="00274BD7"/>
    <w:rsid w:val="00283683"/>
    <w:rsid w:val="00286BE6"/>
    <w:rsid w:val="002B1720"/>
    <w:rsid w:val="002B2396"/>
    <w:rsid w:val="002D05C1"/>
    <w:rsid w:val="002D4CC5"/>
    <w:rsid w:val="002E3BDA"/>
    <w:rsid w:val="002F0158"/>
    <w:rsid w:val="00324621"/>
    <w:rsid w:val="00345756"/>
    <w:rsid w:val="00367C0B"/>
    <w:rsid w:val="00383F45"/>
    <w:rsid w:val="00387CDB"/>
    <w:rsid w:val="003928A1"/>
    <w:rsid w:val="00397F01"/>
    <w:rsid w:val="003A7929"/>
    <w:rsid w:val="003B7033"/>
    <w:rsid w:val="003D0736"/>
    <w:rsid w:val="003D1A53"/>
    <w:rsid w:val="003D77A3"/>
    <w:rsid w:val="003F10CB"/>
    <w:rsid w:val="00400824"/>
    <w:rsid w:val="00410B10"/>
    <w:rsid w:val="00412BBA"/>
    <w:rsid w:val="004332FB"/>
    <w:rsid w:val="004560A0"/>
    <w:rsid w:val="00483F77"/>
    <w:rsid w:val="004964C4"/>
    <w:rsid w:val="004D1E9F"/>
    <w:rsid w:val="004E0894"/>
    <w:rsid w:val="004E64CF"/>
    <w:rsid w:val="005075F7"/>
    <w:rsid w:val="00551A5E"/>
    <w:rsid w:val="0056273C"/>
    <w:rsid w:val="0058636D"/>
    <w:rsid w:val="00586E16"/>
    <w:rsid w:val="00591487"/>
    <w:rsid w:val="005B50BE"/>
    <w:rsid w:val="005B5D7C"/>
    <w:rsid w:val="005D0CA7"/>
    <w:rsid w:val="005E35CD"/>
    <w:rsid w:val="005F14CB"/>
    <w:rsid w:val="00610417"/>
    <w:rsid w:val="00614822"/>
    <w:rsid w:val="00616C2A"/>
    <w:rsid w:val="00636051"/>
    <w:rsid w:val="006561CC"/>
    <w:rsid w:val="006778B7"/>
    <w:rsid w:val="006815D6"/>
    <w:rsid w:val="006D6651"/>
    <w:rsid w:val="006E209B"/>
    <w:rsid w:val="006E335C"/>
    <w:rsid w:val="00707CF5"/>
    <w:rsid w:val="00712C08"/>
    <w:rsid w:val="00762FE7"/>
    <w:rsid w:val="007839BA"/>
    <w:rsid w:val="007B153B"/>
    <w:rsid w:val="007C3366"/>
    <w:rsid w:val="007F4942"/>
    <w:rsid w:val="00823488"/>
    <w:rsid w:val="00827E4C"/>
    <w:rsid w:val="00842DC2"/>
    <w:rsid w:val="00853B1A"/>
    <w:rsid w:val="00862EC3"/>
    <w:rsid w:val="008863F7"/>
    <w:rsid w:val="008B72D1"/>
    <w:rsid w:val="008C6C5D"/>
    <w:rsid w:val="008D48BB"/>
    <w:rsid w:val="008D5644"/>
    <w:rsid w:val="008D7EC5"/>
    <w:rsid w:val="00930F11"/>
    <w:rsid w:val="0099145C"/>
    <w:rsid w:val="00997C3C"/>
    <w:rsid w:val="009A62FF"/>
    <w:rsid w:val="009C1B9C"/>
    <w:rsid w:val="009C34DD"/>
    <w:rsid w:val="009E4EC0"/>
    <w:rsid w:val="00A038D2"/>
    <w:rsid w:val="00A04E8F"/>
    <w:rsid w:val="00A15FCD"/>
    <w:rsid w:val="00A226CD"/>
    <w:rsid w:val="00A22F6A"/>
    <w:rsid w:val="00A24408"/>
    <w:rsid w:val="00A53510"/>
    <w:rsid w:val="00AE4287"/>
    <w:rsid w:val="00AF2886"/>
    <w:rsid w:val="00AF63D5"/>
    <w:rsid w:val="00AF6A60"/>
    <w:rsid w:val="00B038CF"/>
    <w:rsid w:val="00B41CC7"/>
    <w:rsid w:val="00B4220F"/>
    <w:rsid w:val="00B615D3"/>
    <w:rsid w:val="00B90D51"/>
    <w:rsid w:val="00BB578D"/>
    <w:rsid w:val="00BE28F0"/>
    <w:rsid w:val="00BE6D31"/>
    <w:rsid w:val="00BF1609"/>
    <w:rsid w:val="00C03264"/>
    <w:rsid w:val="00C122B6"/>
    <w:rsid w:val="00C2042D"/>
    <w:rsid w:val="00C21F91"/>
    <w:rsid w:val="00C27145"/>
    <w:rsid w:val="00C31BEF"/>
    <w:rsid w:val="00C61AA0"/>
    <w:rsid w:val="00C6311D"/>
    <w:rsid w:val="00C64CAA"/>
    <w:rsid w:val="00C7377E"/>
    <w:rsid w:val="00C7709E"/>
    <w:rsid w:val="00CA0F12"/>
    <w:rsid w:val="00CB274D"/>
    <w:rsid w:val="00CC1BA9"/>
    <w:rsid w:val="00CC2AB4"/>
    <w:rsid w:val="00CC3FDD"/>
    <w:rsid w:val="00CD17AD"/>
    <w:rsid w:val="00CD1F91"/>
    <w:rsid w:val="00CD2CFD"/>
    <w:rsid w:val="00D05016"/>
    <w:rsid w:val="00D05CFF"/>
    <w:rsid w:val="00D25A66"/>
    <w:rsid w:val="00D544BE"/>
    <w:rsid w:val="00D63ED1"/>
    <w:rsid w:val="00D724B3"/>
    <w:rsid w:val="00D847B1"/>
    <w:rsid w:val="00D96449"/>
    <w:rsid w:val="00DC4116"/>
    <w:rsid w:val="00DC79A6"/>
    <w:rsid w:val="00DD62DD"/>
    <w:rsid w:val="00E371D7"/>
    <w:rsid w:val="00E37DC8"/>
    <w:rsid w:val="00E510F6"/>
    <w:rsid w:val="00E60E65"/>
    <w:rsid w:val="00E716D0"/>
    <w:rsid w:val="00EB1140"/>
    <w:rsid w:val="00EC26BC"/>
    <w:rsid w:val="00EE5244"/>
    <w:rsid w:val="00F16C42"/>
    <w:rsid w:val="00F345C6"/>
    <w:rsid w:val="00F42A03"/>
    <w:rsid w:val="00F53E9E"/>
    <w:rsid w:val="00F605B7"/>
    <w:rsid w:val="00F930F2"/>
    <w:rsid w:val="00F95BD2"/>
    <w:rsid w:val="00FB5E77"/>
    <w:rsid w:val="00FD166A"/>
    <w:rsid w:val="00FE1C69"/>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 w:type="paragraph" w:styleId="Header">
    <w:name w:val="header"/>
    <w:basedOn w:val="Normal"/>
    <w:link w:val="HeaderChar"/>
    <w:uiPriority w:val="99"/>
    <w:unhideWhenUsed/>
    <w:rsid w:val="00CB274D"/>
    <w:pPr>
      <w:tabs>
        <w:tab w:val="center" w:pos="4680"/>
        <w:tab w:val="right" w:pos="9360"/>
      </w:tabs>
    </w:pPr>
  </w:style>
  <w:style w:type="character" w:customStyle="1" w:styleId="HeaderChar">
    <w:name w:val="Header Char"/>
    <w:basedOn w:val="DefaultParagraphFont"/>
    <w:link w:val="Header"/>
    <w:uiPriority w:val="99"/>
    <w:rsid w:val="00CB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E441-A200-4350-81AF-9A03B809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Arshad Tareen/Manager (Electrical)/PTCL</cp:lastModifiedBy>
  <cp:revision>7</cp:revision>
  <cp:lastPrinted>2018-01-22T06:11:00Z</cp:lastPrinted>
  <dcterms:created xsi:type="dcterms:W3CDTF">2021-09-28T11:20:00Z</dcterms:created>
  <dcterms:modified xsi:type="dcterms:W3CDTF">2021-09-29T06:17:00Z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