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2" w:type="dxa"/>
        <w:jc w:val="center"/>
        <w:tblLook w:val="01E0" w:firstRow="1" w:lastRow="1" w:firstColumn="1" w:lastColumn="1" w:noHBand="0" w:noVBand="0"/>
      </w:tblPr>
      <w:tblGrid>
        <w:gridCol w:w="2706"/>
        <w:gridCol w:w="6696"/>
      </w:tblGrid>
      <w:tr w:rsidR="00DB4ED6" w:rsidRPr="008C3C90" w:rsidTr="00055CE0">
        <w:trPr>
          <w:trHeight w:val="1026"/>
          <w:jc w:val="center"/>
        </w:trPr>
        <w:tc>
          <w:tcPr>
            <w:tcW w:w="2706" w:type="dxa"/>
          </w:tcPr>
          <w:p w:rsidR="00DB4ED6" w:rsidRPr="008C3C90" w:rsidRDefault="00DB4ED6" w:rsidP="00055CE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C3C90">
              <w:rPr>
                <w:rFonts w:asciiTheme="majorHAnsi" w:hAnsiTheme="majorHAnsi" w:cs="Arial"/>
                <w:noProof/>
                <w:sz w:val="22"/>
                <w:szCs w:val="22"/>
              </w:rPr>
              <w:drawing>
                <wp:inline distT="0" distB="0" distL="0" distR="0" wp14:anchorId="7B12C656" wp14:editId="1A4FC8E8">
                  <wp:extent cx="1562100" cy="561975"/>
                  <wp:effectExtent l="0" t="0" r="0" b="9525"/>
                  <wp:docPr id="2" name="Picture 2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</w:tcPr>
          <w:p w:rsidR="00DB4ED6" w:rsidRPr="00A175DB" w:rsidRDefault="00DB4ED6" w:rsidP="00A175DB">
            <w:pPr>
              <w:pStyle w:val="Heading1"/>
              <w:ind w:right="-279"/>
              <w:jc w:val="left"/>
              <w:rPr>
                <w:rFonts w:asciiTheme="majorHAnsi" w:hAnsiTheme="majorHAnsi" w:cs="Arial"/>
                <w:sz w:val="28"/>
                <w:szCs w:val="22"/>
                <w:u w:val="single"/>
              </w:rPr>
            </w:pPr>
            <w:r w:rsidRPr="00A175DB">
              <w:rPr>
                <w:rFonts w:asciiTheme="majorHAnsi" w:hAnsiTheme="majorHAnsi" w:cs="Arial"/>
                <w:sz w:val="28"/>
                <w:szCs w:val="22"/>
                <w:u w:val="single"/>
              </w:rPr>
              <w:t>Pakistan Telecommunication Company Limited</w:t>
            </w:r>
          </w:p>
          <w:p w:rsidR="00DB4ED6" w:rsidRPr="008C3C90" w:rsidRDefault="009E18A8" w:rsidP="00055CE0">
            <w:pPr>
              <w:pStyle w:val="Heading1"/>
              <w:ind w:right="-2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</w:t>
            </w:r>
          </w:p>
          <w:p w:rsidR="00DB4ED6" w:rsidRPr="008C3C90" w:rsidRDefault="00DB4ED6" w:rsidP="00055CE0">
            <w:pPr>
              <w:pStyle w:val="Heading5"/>
              <w:tabs>
                <w:tab w:val="clear" w:pos="1269"/>
                <w:tab w:val="left" w:pos="922"/>
              </w:tabs>
              <w:ind w:right="-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DB4ED6" w:rsidRPr="009E18A8" w:rsidRDefault="00DB4ED6" w:rsidP="00BA7EFE">
      <w:pPr>
        <w:jc w:val="center"/>
        <w:rPr>
          <w:rFonts w:asciiTheme="majorHAnsi" w:hAnsiTheme="majorHAnsi"/>
          <w:b/>
          <w:sz w:val="28"/>
          <w:szCs w:val="20"/>
        </w:rPr>
      </w:pPr>
      <w:r w:rsidRPr="009E18A8">
        <w:rPr>
          <w:rFonts w:asciiTheme="majorHAnsi" w:hAnsiTheme="majorHAnsi"/>
          <w:b/>
          <w:sz w:val="28"/>
          <w:szCs w:val="20"/>
        </w:rPr>
        <w:t>TENDER NOTICE</w:t>
      </w:r>
    </w:p>
    <w:p w:rsidR="00DB4ED6" w:rsidRPr="008A5CC6" w:rsidRDefault="00DB4ED6" w:rsidP="00DB4ED6">
      <w:pPr>
        <w:pStyle w:val="Heading1"/>
        <w:rPr>
          <w:rFonts w:asciiTheme="majorHAnsi" w:hAnsiTheme="majorHAnsi"/>
          <w:b w:val="0"/>
          <w:sz w:val="2"/>
          <w:szCs w:val="20"/>
        </w:rPr>
      </w:pPr>
    </w:p>
    <w:p w:rsidR="005434D8" w:rsidRDefault="005434D8" w:rsidP="00487BFA">
      <w:pPr>
        <w:pStyle w:val="Heading3"/>
        <w:spacing w:line="240" w:lineRule="auto"/>
        <w:rPr>
          <w:rFonts w:asciiTheme="majorHAnsi" w:hAnsiTheme="majorHAnsi"/>
          <w:bCs/>
          <w:sz w:val="28"/>
        </w:rPr>
      </w:pPr>
    </w:p>
    <w:p w:rsidR="00487BFA" w:rsidRDefault="009F44A7" w:rsidP="007D3184">
      <w:pPr>
        <w:jc w:val="center"/>
        <w:rPr>
          <w:rFonts w:asciiTheme="majorHAnsi" w:hAnsiTheme="majorHAnsi"/>
          <w:b/>
          <w:bCs/>
          <w:sz w:val="28"/>
        </w:rPr>
      </w:pPr>
      <w:r w:rsidRPr="009F44A7">
        <w:rPr>
          <w:rFonts w:asciiTheme="majorHAnsi" w:hAnsiTheme="majorHAnsi"/>
          <w:b/>
          <w:bCs/>
          <w:sz w:val="28"/>
        </w:rPr>
        <w:t>DEPLOYMENT OF GAMING ZONE AT PTCL HEADQUARTER</w:t>
      </w:r>
      <w:r w:rsidR="003034C3">
        <w:rPr>
          <w:rFonts w:asciiTheme="majorHAnsi" w:hAnsiTheme="majorHAnsi"/>
          <w:b/>
          <w:bCs/>
          <w:sz w:val="28"/>
        </w:rPr>
        <w:t>S</w:t>
      </w:r>
      <w:r w:rsidRPr="009F44A7">
        <w:rPr>
          <w:rFonts w:asciiTheme="majorHAnsi" w:hAnsiTheme="majorHAnsi"/>
          <w:b/>
          <w:bCs/>
          <w:sz w:val="28"/>
        </w:rPr>
        <w:t xml:space="preserve"> ON TURNKEY BASIS</w:t>
      </w:r>
    </w:p>
    <w:p w:rsidR="009F44A7" w:rsidRPr="00BA7EFE" w:rsidRDefault="009F44A7" w:rsidP="007D3184">
      <w:pPr>
        <w:jc w:val="center"/>
      </w:pPr>
    </w:p>
    <w:p w:rsidR="00487BFA" w:rsidRDefault="009F44A7" w:rsidP="00BA7EFE">
      <w:pPr>
        <w:pStyle w:val="Heading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 w:val="0"/>
          <w:sz w:val="22"/>
        </w:rPr>
      </w:pPr>
      <w:r w:rsidRPr="009F44A7">
        <w:rPr>
          <w:rFonts w:asciiTheme="majorHAnsi" w:hAnsiTheme="majorHAnsi" w:cstheme="majorHAnsi"/>
          <w:b w:val="0"/>
          <w:sz w:val="22"/>
        </w:rPr>
        <w:t>PTCL intend to set up a Gaming Experience Zone at PTCL Head Quarter on Turnkey Basis in accordance with PTCL requirements/specifications which will be shared to interested parties onl</w:t>
      </w:r>
      <w:r>
        <w:rPr>
          <w:rFonts w:asciiTheme="majorHAnsi" w:hAnsiTheme="majorHAnsi" w:cstheme="majorHAnsi"/>
          <w:b w:val="0"/>
          <w:sz w:val="22"/>
        </w:rPr>
        <w:t>y</w:t>
      </w:r>
      <w:r w:rsidR="00487BFA">
        <w:rPr>
          <w:rFonts w:asciiTheme="majorHAnsi" w:hAnsiTheme="majorHAnsi" w:cstheme="majorHAnsi"/>
          <w:b w:val="0"/>
          <w:sz w:val="22"/>
        </w:rPr>
        <w:t>.</w:t>
      </w:r>
    </w:p>
    <w:p w:rsidR="00487BFA" w:rsidRPr="00487BFA" w:rsidRDefault="00487BFA" w:rsidP="00487BFA"/>
    <w:p w:rsidR="00487BFA" w:rsidRPr="00487BFA" w:rsidRDefault="009F44A7" w:rsidP="00BA7EF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9F44A7">
        <w:rPr>
          <w:rFonts w:asciiTheme="majorHAnsi" w:hAnsiTheme="majorHAnsi"/>
          <w:sz w:val="22"/>
          <w:szCs w:val="20"/>
        </w:rPr>
        <w:t xml:space="preserve">Bids (marked as “Deployment of Gaming Zone at PTCL Head Quarter on Turnkey Basis”, with complete solution) shall be submitted latest by </w:t>
      </w:r>
      <w:r w:rsidR="00BA67B1">
        <w:rPr>
          <w:rFonts w:asciiTheme="majorHAnsi" w:hAnsiTheme="majorHAnsi"/>
          <w:b/>
          <w:sz w:val="22"/>
          <w:szCs w:val="20"/>
        </w:rPr>
        <w:t>01</w:t>
      </w:r>
      <w:r w:rsidRPr="009F44A7">
        <w:rPr>
          <w:rFonts w:asciiTheme="majorHAnsi" w:hAnsiTheme="majorHAnsi"/>
          <w:b/>
          <w:sz w:val="22"/>
          <w:szCs w:val="20"/>
        </w:rPr>
        <w:t>-0</w:t>
      </w:r>
      <w:r w:rsidR="00BA67B1">
        <w:rPr>
          <w:rFonts w:asciiTheme="majorHAnsi" w:hAnsiTheme="majorHAnsi"/>
          <w:b/>
          <w:sz w:val="22"/>
          <w:szCs w:val="20"/>
        </w:rPr>
        <w:t>3</w:t>
      </w:r>
      <w:bookmarkStart w:id="0" w:name="_GoBack"/>
      <w:bookmarkEnd w:id="0"/>
      <w:r w:rsidRPr="009F44A7">
        <w:rPr>
          <w:rFonts w:asciiTheme="majorHAnsi" w:hAnsiTheme="majorHAnsi"/>
          <w:b/>
          <w:sz w:val="22"/>
          <w:szCs w:val="20"/>
        </w:rPr>
        <w:t>-2019</w:t>
      </w:r>
      <w:r w:rsidRPr="009F44A7">
        <w:rPr>
          <w:rFonts w:asciiTheme="majorHAnsi" w:hAnsiTheme="majorHAnsi"/>
          <w:sz w:val="22"/>
          <w:szCs w:val="20"/>
        </w:rPr>
        <w:t xml:space="preserve"> on or before </w:t>
      </w:r>
      <w:r w:rsidRPr="009F44A7">
        <w:rPr>
          <w:rFonts w:asciiTheme="majorHAnsi" w:hAnsiTheme="majorHAnsi"/>
          <w:b/>
          <w:sz w:val="22"/>
          <w:szCs w:val="20"/>
        </w:rPr>
        <w:t>1200 Hours</w:t>
      </w:r>
      <w:r w:rsidR="00487BFA">
        <w:rPr>
          <w:rFonts w:asciiTheme="majorHAnsi" w:hAnsiTheme="majorHAnsi"/>
          <w:sz w:val="22"/>
          <w:szCs w:val="20"/>
        </w:rPr>
        <w:t>.</w:t>
      </w:r>
    </w:p>
    <w:p w:rsidR="00487BFA" w:rsidRPr="00487BFA" w:rsidRDefault="00487BFA" w:rsidP="00487BFA">
      <w:pPr>
        <w:rPr>
          <w:rFonts w:asciiTheme="majorHAnsi" w:hAnsiTheme="majorHAnsi"/>
          <w:sz w:val="28"/>
        </w:rPr>
      </w:pPr>
    </w:p>
    <w:p w:rsidR="00487BFA" w:rsidRPr="00487BFA" w:rsidRDefault="00487BFA" w:rsidP="00BA7EF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87BFA">
        <w:rPr>
          <w:rFonts w:asciiTheme="majorHAnsi" w:hAnsiTheme="majorHAnsi"/>
          <w:sz w:val="22"/>
          <w:szCs w:val="20"/>
        </w:rPr>
        <w:t>Bids/solution received after the above deadline shall not be accepted and returned unopened. Bids through Email/Fax/Courier shall not be accepted.</w:t>
      </w:r>
    </w:p>
    <w:p w:rsidR="00487BFA" w:rsidRPr="00487BFA" w:rsidRDefault="00487BFA" w:rsidP="00487BFA">
      <w:pPr>
        <w:rPr>
          <w:rFonts w:asciiTheme="majorHAnsi" w:hAnsiTheme="majorHAnsi"/>
          <w:sz w:val="22"/>
        </w:rPr>
      </w:pPr>
    </w:p>
    <w:p w:rsidR="00BA7EFE" w:rsidRDefault="00DB4ED6" w:rsidP="00BA7EFE">
      <w:pPr>
        <w:pStyle w:val="Heading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 w:val="0"/>
          <w:sz w:val="22"/>
          <w:szCs w:val="20"/>
        </w:rPr>
      </w:pPr>
      <w:r w:rsidRPr="00A175DB">
        <w:rPr>
          <w:rFonts w:asciiTheme="majorHAnsi" w:hAnsiTheme="majorHAnsi"/>
          <w:b w:val="0"/>
          <w:sz w:val="22"/>
          <w:szCs w:val="20"/>
        </w:rPr>
        <w:t xml:space="preserve">Bids received after the </w:t>
      </w:r>
      <w:r w:rsidR="00BA7EFE" w:rsidRPr="00A175DB">
        <w:rPr>
          <w:rFonts w:asciiTheme="majorHAnsi" w:hAnsiTheme="majorHAnsi"/>
          <w:b w:val="0"/>
          <w:sz w:val="22"/>
          <w:szCs w:val="20"/>
        </w:rPr>
        <w:t>above-mentioned</w:t>
      </w:r>
      <w:r w:rsidR="002172CB" w:rsidRPr="00A175DB">
        <w:rPr>
          <w:rFonts w:asciiTheme="majorHAnsi" w:hAnsiTheme="majorHAnsi"/>
          <w:b w:val="0"/>
          <w:sz w:val="22"/>
          <w:szCs w:val="20"/>
        </w:rPr>
        <w:t xml:space="preserve"> </w:t>
      </w:r>
      <w:r w:rsidRPr="00A175DB">
        <w:rPr>
          <w:rFonts w:asciiTheme="majorHAnsi" w:hAnsiTheme="majorHAnsi"/>
          <w:b w:val="0"/>
          <w:sz w:val="22"/>
          <w:szCs w:val="20"/>
        </w:rPr>
        <w:t xml:space="preserve">deadline shall not be accepted and be returned unopened. </w:t>
      </w:r>
    </w:p>
    <w:p w:rsidR="00487BFA" w:rsidRPr="00487BFA" w:rsidRDefault="00487BFA" w:rsidP="00487BFA"/>
    <w:p w:rsidR="00DB4ED6" w:rsidRDefault="009F44A7" w:rsidP="00BA7EFE">
      <w:pPr>
        <w:pStyle w:val="Heading3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2"/>
          <w:szCs w:val="20"/>
        </w:rPr>
      </w:pPr>
      <w:r w:rsidRPr="009F44A7">
        <w:rPr>
          <w:rFonts w:asciiTheme="majorHAnsi" w:hAnsiTheme="majorHAnsi"/>
          <w:b w:val="0"/>
          <w:sz w:val="22"/>
          <w:szCs w:val="20"/>
        </w:rPr>
        <w:t>Please note that bids will be preferred from authorized partners/distributers of renowned Desktop PC &amp; Gaming System brands only along with principal authorization letter/certificate</w:t>
      </w:r>
      <w:r w:rsidR="00DB4ED6" w:rsidRPr="00A175DB">
        <w:rPr>
          <w:rFonts w:asciiTheme="majorHAnsi" w:hAnsiTheme="majorHAnsi"/>
          <w:sz w:val="22"/>
          <w:szCs w:val="20"/>
        </w:rPr>
        <w:tab/>
      </w:r>
    </w:p>
    <w:p w:rsidR="00487BFA" w:rsidRPr="00487BFA" w:rsidRDefault="00487BFA" w:rsidP="00487BFA"/>
    <w:p w:rsidR="00DB4ED6" w:rsidRDefault="00DB4ED6" w:rsidP="00DB4ED6">
      <w:pPr>
        <w:pStyle w:val="BodyText"/>
        <w:numPr>
          <w:ilvl w:val="0"/>
          <w:numId w:val="1"/>
        </w:numPr>
        <w:tabs>
          <w:tab w:val="clear" w:pos="3259"/>
        </w:tabs>
        <w:spacing w:line="240" w:lineRule="auto"/>
        <w:jc w:val="both"/>
        <w:rPr>
          <w:rFonts w:asciiTheme="majorHAnsi" w:hAnsiTheme="majorHAnsi"/>
          <w:sz w:val="22"/>
          <w:szCs w:val="20"/>
        </w:rPr>
      </w:pPr>
      <w:r w:rsidRPr="00A175DB">
        <w:rPr>
          <w:rFonts w:asciiTheme="majorHAnsi" w:hAnsiTheme="majorHAnsi"/>
          <w:sz w:val="22"/>
          <w:szCs w:val="20"/>
        </w:rPr>
        <w:t xml:space="preserve">PTCL reserves the right to </w:t>
      </w:r>
      <w:r w:rsidR="002172CB" w:rsidRPr="00A175DB">
        <w:rPr>
          <w:rFonts w:asciiTheme="majorHAnsi" w:hAnsiTheme="majorHAnsi"/>
          <w:sz w:val="22"/>
          <w:szCs w:val="20"/>
        </w:rPr>
        <w:t>accept/</w:t>
      </w:r>
      <w:r w:rsidRPr="00A175DB">
        <w:rPr>
          <w:rFonts w:asciiTheme="majorHAnsi" w:hAnsiTheme="majorHAnsi"/>
          <w:sz w:val="22"/>
          <w:szCs w:val="20"/>
        </w:rPr>
        <w:t>reject any or all bids and to annul the bidding process at any time, without thereby incurring any liability to the affected bidder(s) or any obligation</w:t>
      </w:r>
      <w:r w:rsidR="002172CB" w:rsidRPr="00A175DB">
        <w:rPr>
          <w:rFonts w:asciiTheme="majorHAnsi" w:hAnsiTheme="majorHAnsi"/>
          <w:sz w:val="22"/>
          <w:szCs w:val="20"/>
        </w:rPr>
        <w:t>s to inform the affected bidder(s) of the grounds for PTCL’s a</w:t>
      </w:r>
      <w:r w:rsidRPr="00A175DB">
        <w:rPr>
          <w:rFonts w:asciiTheme="majorHAnsi" w:hAnsiTheme="majorHAnsi"/>
          <w:sz w:val="22"/>
          <w:szCs w:val="20"/>
        </w:rPr>
        <w:t>ction.</w:t>
      </w:r>
    </w:p>
    <w:p w:rsidR="00487BFA" w:rsidRPr="00BA7EFE" w:rsidRDefault="00487BFA" w:rsidP="00487BFA">
      <w:pPr>
        <w:pStyle w:val="BodyText"/>
        <w:tabs>
          <w:tab w:val="clear" w:pos="3259"/>
        </w:tabs>
        <w:spacing w:line="240" w:lineRule="auto"/>
        <w:jc w:val="both"/>
        <w:rPr>
          <w:rFonts w:asciiTheme="majorHAnsi" w:hAnsiTheme="majorHAnsi"/>
          <w:sz w:val="22"/>
          <w:szCs w:val="20"/>
        </w:rPr>
      </w:pPr>
    </w:p>
    <w:p w:rsidR="00DB4ED6" w:rsidRPr="00A175DB" w:rsidRDefault="00DB4ED6" w:rsidP="00DB4ED6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0"/>
        </w:rPr>
      </w:pPr>
      <w:r w:rsidRPr="00A175DB">
        <w:rPr>
          <w:rFonts w:asciiTheme="majorHAnsi" w:hAnsiTheme="majorHAnsi"/>
          <w:sz w:val="22"/>
          <w:szCs w:val="20"/>
        </w:rPr>
        <w:t>All correspondence on the subject may be addressed to the undersigned.</w:t>
      </w:r>
    </w:p>
    <w:p w:rsidR="00DB4ED6" w:rsidRPr="008A5CC6" w:rsidRDefault="00DB4ED6" w:rsidP="00DB4ED6">
      <w:pPr>
        <w:jc w:val="both"/>
        <w:rPr>
          <w:rFonts w:asciiTheme="majorHAnsi" w:hAnsiTheme="majorHAnsi"/>
          <w:sz w:val="20"/>
          <w:szCs w:val="20"/>
        </w:rPr>
      </w:pPr>
    </w:p>
    <w:p w:rsidR="00DB4ED6" w:rsidRPr="008A5CC6" w:rsidRDefault="00DB4ED6" w:rsidP="00DB4ED6">
      <w:pPr>
        <w:jc w:val="center"/>
        <w:rPr>
          <w:rFonts w:asciiTheme="majorHAnsi" w:hAnsiTheme="majorHAnsi"/>
          <w:b/>
          <w:sz w:val="20"/>
          <w:szCs w:val="20"/>
        </w:rPr>
      </w:pPr>
    </w:p>
    <w:p w:rsidR="00DB4ED6" w:rsidRPr="008A5CC6" w:rsidRDefault="00DB4ED6" w:rsidP="00DB4ED6">
      <w:pPr>
        <w:jc w:val="center"/>
        <w:rPr>
          <w:rFonts w:asciiTheme="majorHAnsi" w:hAnsiTheme="majorHAnsi"/>
          <w:b/>
          <w:sz w:val="20"/>
          <w:szCs w:val="20"/>
        </w:rPr>
      </w:pPr>
    </w:p>
    <w:p w:rsidR="009F44A7" w:rsidRDefault="009F44A7" w:rsidP="009F44A7">
      <w:pPr>
        <w:ind w:left="360"/>
        <w:rPr>
          <w:rFonts w:asciiTheme="majorHAnsi" w:hAnsiTheme="majorHAnsi"/>
          <w:b/>
          <w:sz w:val="28"/>
          <w:szCs w:val="20"/>
        </w:rPr>
      </w:pPr>
      <w:r w:rsidRPr="009F44A7">
        <w:rPr>
          <w:rFonts w:asciiTheme="majorHAnsi" w:hAnsiTheme="majorHAnsi"/>
          <w:b/>
          <w:sz w:val="28"/>
          <w:szCs w:val="20"/>
        </w:rPr>
        <w:t>Senior Manager</w:t>
      </w:r>
    </w:p>
    <w:p w:rsidR="009F44A7" w:rsidRPr="009F44A7" w:rsidRDefault="009F44A7" w:rsidP="009F44A7">
      <w:pPr>
        <w:ind w:left="360"/>
        <w:rPr>
          <w:rFonts w:asciiTheme="majorHAnsi" w:hAnsiTheme="majorHAnsi"/>
          <w:szCs w:val="20"/>
        </w:rPr>
      </w:pPr>
      <w:r w:rsidRPr="009F44A7">
        <w:rPr>
          <w:rFonts w:asciiTheme="majorHAnsi" w:hAnsiTheme="majorHAnsi"/>
          <w:szCs w:val="20"/>
        </w:rPr>
        <w:t xml:space="preserve">Core &amp; Transport </w:t>
      </w:r>
    </w:p>
    <w:p w:rsidR="009F44A7" w:rsidRPr="009F44A7" w:rsidRDefault="009F44A7" w:rsidP="009F44A7">
      <w:pPr>
        <w:ind w:left="360"/>
        <w:rPr>
          <w:rFonts w:asciiTheme="majorHAnsi" w:hAnsiTheme="majorHAnsi"/>
          <w:szCs w:val="20"/>
        </w:rPr>
      </w:pPr>
      <w:r w:rsidRPr="009F44A7">
        <w:rPr>
          <w:rFonts w:asciiTheme="majorHAnsi" w:hAnsiTheme="majorHAnsi"/>
          <w:szCs w:val="20"/>
        </w:rPr>
        <w:t xml:space="preserve">Room# 11, 4th Floor, Old Building </w:t>
      </w:r>
    </w:p>
    <w:p w:rsidR="009F44A7" w:rsidRPr="009F44A7" w:rsidRDefault="009F44A7" w:rsidP="009F44A7">
      <w:pPr>
        <w:ind w:left="360"/>
        <w:rPr>
          <w:rFonts w:asciiTheme="majorHAnsi" w:hAnsiTheme="majorHAnsi"/>
          <w:szCs w:val="20"/>
        </w:rPr>
      </w:pPr>
      <w:r w:rsidRPr="009F44A7">
        <w:rPr>
          <w:rFonts w:asciiTheme="majorHAnsi" w:hAnsiTheme="majorHAnsi"/>
          <w:szCs w:val="20"/>
        </w:rPr>
        <w:t xml:space="preserve">PTCL H/Qs, G-8/4, Islamabad </w:t>
      </w:r>
    </w:p>
    <w:p w:rsidR="009F44A7" w:rsidRPr="009F44A7" w:rsidRDefault="009F44A7" w:rsidP="009F44A7">
      <w:pPr>
        <w:ind w:left="360"/>
        <w:rPr>
          <w:rFonts w:asciiTheme="majorHAnsi" w:hAnsiTheme="majorHAnsi"/>
          <w:szCs w:val="20"/>
        </w:rPr>
      </w:pPr>
      <w:r w:rsidRPr="009F44A7">
        <w:rPr>
          <w:rFonts w:asciiTheme="majorHAnsi" w:hAnsiTheme="majorHAnsi"/>
          <w:szCs w:val="20"/>
        </w:rPr>
        <w:t xml:space="preserve">Ph. # 051-2289153  </w:t>
      </w:r>
    </w:p>
    <w:p w:rsidR="00701A94" w:rsidRPr="009F44A7" w:rsidRDefault="009F44A7" w:rsidP="009F44A7">
      <w:pPr>
        <w:ind w:left="360"/>
        <w:rPr>
          <w:rFonts w:asciiTheme="majorHAnsi" w:hAnsiTheme="majorHAnsi"/>
          <w:sz w:val="22"/>
          <w:szCs w:val="20"/>
        </w:rPr>
      </w:pPr>
      <w:r w:rsidRPr="009F44A7">
        <w:rPr>
          <w:rFonts w:asciiTheme="majorHAnsi" w:hAnsiTheme="majorHAnsi"/>
          <w:szCs w:val="20"/>
        </w:rPr>
        <w:t>Email: amir.tirmizi@ptcl.net.pk</w:t>
      </w:r>
    </w:p>
    <w:sectPr w:rsidR="00701A94" w:rsidRPr="009F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3C6"/>
    <w:multiLevelType w:val="hybridMultilevel"/>
    <w:tmpl w:val="9B707DB4"/>
    <w:lvl w:ilvl="0" w:tplc="0994B57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D6"/>
    <w:rsid w:val="002172CB"/>
    <w:rsid w:val="003034C3"/>
    <w:rsid w:val="00324D20"/>
    <w:rsid w:val="00487BFA"/>
    <w:rsid w:val="005434D8"/>
    <w:rsid w:val="006A3034"/>
    <w:rsid w:val="006F03E8"/>
    <w:rsid w:val="00726342"/>
    <w:rsid w:val="007D3184"/>
    <w:rsid w:val="009D5FAE"/>
    <w:rsid w:val="009E18A8"/>
    <w:rsid w:val="009F44A7"/>
    <w:rsid w:val="00A175DB"/>
    <w:rsid w:val="00BA67B1"/>
    <w:rsid w:val="00BA7EFE"/>
    <w:rsid w:val="00BD21E2"/>
    <w:rsid w:val="00C63342"/>
    <w:rsid w:val="00D577B3"/>
    <w:rsid w:val="00DA11CD"/>
    <w:rsid w:val="00DB4ED6"/>
    <w:rsid w:val="00F75C53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007F"/>
  <w15:chartTrackingRefBased/>
  <w15:docId w15:val="{FCD5EE11-57FC-4992-921F-185275D6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ED6"/>
    <w:pPr>
      <w:keepNext/>
      <w:widowControl w:val="0"/>
      <w:tabs>
        <w:tab w:val="left" w:pos="2108"/>
      </w:tabs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B4ED6"/>
    <w:pPr>
      <w:keepNext/>
      <w:widowControl w:val="0"/>
      <w:autoSpaceDE w:val="0"/>
      <w:autoSpaceDN w:val="0"/>
      <w:adjustRightInd w:val="0"/>
      <w:spacing w:line="198" w:lineRule="exact"/>
      <w:outlineLvl w:val="2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DB4ED6"/>
    <w:pPr>
      <w:keepNext/>
      <w:widowControl w:val="0"/>
      <w:tabs>
        <w:tab w:val="left" w:pos="1269"/>
        <w:tab w:val="left" w:pos="5799"/>
      </w:tabs>
      <w:autoSpaceDE w:val="0"/>
      <w:autoSpaceDN w:val="0"/>
      <w:adjustRightInd w:val="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E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B4ED6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DB4ED6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B4ED6"/>
    <w:pPr>
      <w:widowControl w:val="0"/>
      <w:tabs>
        <w:tab w:val="decimal" w:pos="900"/>
        <w:tab w:val="left" w:pos="2052"/>
      </w:tabs>
      <w:autoSpaceDE w:val="0"/>
      <w:autoSpaceDN w:val="0"/>
      <w:adjustRightInd w:val="0"/>
      <w:spacing w:line="238" w:lineRule="exac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DB4ED6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DB4ED6"/>
    <w:pPr>
      <w:widowControl w:val="0"/>
      <w:tabs>
        <w:tab w:val="left" w:pos="3259"/>
      </w:tabs>
      <w:autoSpaceDE w:val="0"/>
      <w:autoSpaceDN w:val="0"/>
      <w:adjustRightInd w:val="0"/>
      <w:spacing w:line="402" w:lineRule="exac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B4ED6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rsid w:val="00DB4ED6"/>
    <w:rPr>
      <w:color w:val="0000FF"/>
      <w:u w:val="single"/>
    </w:rPr>
  </w:style>
  <w:style w:type="paragraph" w:styleId="ListParagraph">
    <w:name w:val="List Paragraph"/>
    <w:aliases w:val="lp1,List Paragraph1,List Paragraph11,Use Case List Paragraph Char,EOH bullet,Use Case List Paragraph,List Paragraph 1,EOH paragraph,Figure_name"/>
    <w:basedOn w:val="Normal"/>
    <w:link w:val="ListParagraphChar"/>
    <w:uiPriority w:val="34"/>
    <w:qFormat/>
    <w:rsid w:val="00DB4ED6"/>
    <w:pPr>
      <w:ind w:left="720"/>
    </w:pPr>
  </w:style>
  <w:style w:type="character" w:customStyle="1" w:styleId="ListParagraphChar">
    <w:name w:val="List Paragraph Char"/>
    <w:aliases w:val="lp1 Char,List Paragraph1 Char,List Paragraph11 Char,Use Case List Paragraph Char Char,EOH bullet Char,Use Case List Paragraph Char1,List Paragraph 1 Char,EOH paragraph Char,Figure_name Char"/>
    <w:basedOn w:val="DefaultParagraphFont"/>
    <w:link w:val="ListParagraph"/>
    <w:uiPriority w:val="34"/>
    <w:locked/>
    <w:rsid w:val="00DB4ED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Tanvir Ahmad/Manager (Supply Chain)/PTCL</dc:creator>
  <cp:keywords/>
  <dc:description/>
  <cp:lastModifiedBy>Hassan Amar/Management Trainee/PTCL</cp:lastModifiedBy>
  <cp:revision>4</cp:revision>
  <dcterms:created xsi:type="dcterms:W3CDTF">2019-02-20T12:53:00Z</dcterms:created>
  <dcterms:modified xsi:type="dcterms:W3CDTF">2019-02-22T13:54:00Z</dcterms:modified>
</cp:coreProperties>
</file>