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5" w:rsidRPr="00CC3955" w:rsidRDefault="00CC3955" w:rsidP="00CC3955">
      <w:pPr>
        <w:jc w:val="center"/>
        <w:rPr>
          <w:rFonts w:asciiTheme="minorHAnsi" w:hAnsiTheme="minorHAnsi" w:cs="Tahoma"/>
          <w:b/>
          <w:sz w:val="28"/>
          <w:u w:val="single"/>
        </w:rPr>
      </w:pPr>
      <w:r w:rsidRPr="00CC3955">
        <w:rPr>
          <w:rFonts w:asciiTheme="minorHAnsi" w:hAnsiTheme="minorHAnsi" w:cs="Tahoma"/>
          <w:b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C34D86B" wp14:editId="425F6161">
            <wp:simplePos x="0" y="0"/>
            <wp:positionH relativeFrom="column">
              <wp:posOffset>4445</wp:posOffset>
            </wp:positionH>
            <wp:positionV relativeFrom="paragraph">
              <wp:posOffset>-82550</wp:posOffset>
            </wp:positionV>
            <wp:extent cx="957580" cy="624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b/>
          <w:sz w:val="28"/>
        </w:rPr>
        <w:t xml:space="preserve">                               </w:t>
      </w:r>
      <w:r w:rsidRPr="00CC3955">
        <w:rPr>
          <w:rFonts w:asciiTheme="minorHAnsi" w:hAnsiTheme="minorHAnsi" w:cs="Tahoma"/>
          <w:b/>
          <w:sz w:val="28"/>
          <w:u w:val="single"/>
        </w:rPr>
        <w:t>Pakistan Telecommunication Company Limited</w:t>
      </w:r>
    </w:p>
    <w:p w:rsidR="00521A5D" w:rsidRDefault="00CC3955" w:rsidP="00CC3955">
      <w:pPr>
        <w:jc w:val="center"/>
        <w:rPr>
          <w:rFonts w:asciiTheme="minorHAnsi" w:hAnsiTheme="minorHAnsi" w:cs="Tahoma"/>
          <w:b/>
          <w:sz w:val="28"/>
          <w:u w:val="single"/>
        </w:rPr>
      </w:pPr>
      <w:r>
        <w:rPr>
          <w:rFonts w:asciiTheme="minorHAnsi" w:hAnsiTheme="minorHAnsi" w:cs="Tahoma"/>
          <w:b/>
          <w:sz w:val="28"/>
        </w:rPr>
        <w:t xml:space="preserve">                              </w:t>
      </w:r>
    </w:p>
    <w:p w:rsidR="00521A5D" w:rsidRDefault="00521A5D" w:rsidP="00221BC9">
      <w:pPr>
        <w:jc w:val="center"/>
        <w:rPr>
          <w:rFonts w:asciiTheme="minorHAnsi" w:hAnsiTheme="minorHAnsi"/>
          <w:noProof/>
          <w:sz w:val="28"/>
        </w:rPr>
      </w:pPr>
    </w:p>
    <w:p w:rsidR="00CC3955" w:rsidRDefault="00CC3955" w:rsidP="00221BC9">
      <w:pPr>
        <w:jc w:val="center"/>
        <w:rPr>
          <w:rFonts w:asciiTheme="minorHAnsi" w:hAnsiTheme="minorHAnsi" w:cs="Tahoma"/>
          <w:b/>
          <w:sz w:val="28"/>
          <w:u w:val="single"/>
        </w:rPr>
      </w:pPr>
    </w:p>
    <w:p w:rsidR="00CC3955" w:rsidRDefault="00600DA4" w:rsidP="00CC39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3955">
        <w:rPr>
          <w:rFonts w:asciiTheme="minorHAnsi" w:hAnsiTheme="minorHAnsi" w:cstheme="minorHAnsi"/>
          <w:b/>
          <w:sz w:val="32"/>
          <w:szCs w:val="32"/>
        </w:rPr>
        <w:t>T</w:t>
      </w:r>
      <w:r w:rsidR="003007B1" w:rsidRPr="00CC3955">
        <w:rPr>
          <w:rFonts w:asciiTheme="minorHAnsi" w:hAnsiTheme="minorHAnsi" w:cstheme="minorHAnsi"/>
          <w:b/>
          <w:sz w:val="32"/>
          <w:szCs w:val="32"/>
        </w:rPr>
        <w:t>ENDER NOTICE</w:t>
      </w:r>
    </w:p>
    <w:p w:rsidR="00CC3955" w:rsidRPr="00CC3955" w:rsidRDefault="00CC3955" w:rsidP="00CC395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B675C" w:rsidRPr="00CC3955" w:rsidRDefault="00CC3955" w:rsidP="00CC3955">
      <w:pPr>
        <w:jc w:val="center"/>
        <w:rPr>
          <w:rFonts w:asciiTheme="majorHAnsi" w:hAnsiTheme="majorHAnsi" w:cstheme="minorHAnsi"/>
          <w:b/>
        </w:rPr>
      </w:pPr>
      <w:r w:rsidRPr="00CC3955">
        <w:rPr>
          <w:rFonts w:asciiTheme="majorHAnsi" w:hAnsiTheme="majorHAnsi" w:cstheme="minorHAnsi"/>
          <w:b/>
        </w:rPr>
        <w:t>CONSTRUC</w:t>
      </w:r>
      <w:r w:rsidR="00F55DEB" w:rsidRPr="00CC3955">
        <w:rPr>
          <w:rFonts w:asciiTheme="majorHAnsi" w:hAnsiTheme="majorHAnsi" w:cstheme="minorHAnsi"/>
          <w:b/>
        </w:rPr>
        <w:t xml:space="preserve">TION OF </w:t>
      </w:r>
      <w:r w:rsidRPr="00CC3955">
        <w:rPr>
          <w:rFonts w:asciiTheme="majorHAnsi" w:hAnsiTheme="majorHAnsi" w:cstheme="minorHAnsi"/>
          <w:b/>
        </w:rPr>
        <w:t>ROOM</w:t>
      </w:r>
      <w:r>
        <w:rPr>
          <w:rFonts w:asciiTheme="majorHAnsi" w:hAnsiTheme="majorHAnsi" w:cstheme="minorHAnsi"/>
          <w:b/>
        </w:rPr>
        <w:t>S</w:t>
      </w:r>
      <w:r w:rsidRPr="00CC3955">
        <w:rPr>
          <w:rFonts w:asciiTheme="majorHAnsi" w:hAnsiTheme="majorHAnsi" w:cstheme="minorHAnsi"/>
          <w:b/>
        </w:rPr>
        <w:t xml:space="preserve"> AND WASH</w:t>
      </w:r>
      <w:r>
        <w:rPr>
          <w:rFonts w:asciiTheme="majorHAnsi" w:hAnsiTheme="majorHAnsi" w:cstheme="minorHAnsi"/>
          <w:b/>
        </w:rPr>
        <w:t>ROOMS</w:t>
      </w:r>
      <w:r w:rsidR="001B675C" w:rsidRPr="00CC3955">
        <w:rPr>
          <w:rFonts w:asciiTheme="majorHAnsi" w:hAnsiTheme="majorHAnsi" w:cstheme="minorHAnsi"/>
          <w:b/>
        </w:rPr>
        <w:t xml:space="preserve"> AT</w:t>
      </w:r>
    </w:p>
    <w:p w:rsidR="003007B1" w:rsidRPr="00CC3955" w:rsidRDefault="001B675C" w:rsidP="00CC3955">
      <w:pPr>
        <w:jc w:val="center"/>
        <w:rPr>
          <w:rFonts w:asciiTheme="majorHAnsi" w:hAnsiTheme="majorHAnsi" w:cstheme="minorHAnsi"/>
          <w:b/>
        </w:rPr>
      </w:pPr>
      <w:r w:rsidRPr="00CC3955">
        <w:rPr>
          <w:rFonts w:asciiTheme="majorHAnsi" w:hAnsiTheme="majorHAnsi" w:cstheme="minorHAnsi"/>
          <w:b/>
        </w:rPr>
        <w:t>KALAT COAL MINES</w:t>
      </w:r>
      <w:r w:rsidR="009E6B88" w:rsidRPr="00CC3955">
        <w:rPr>
          <w:rFonts w:asciiTheme="majorHAnsi" w:hAnsiTheme="majorHAnsi" w:cstheme="minorHAnsi"/>
          <w:b/>
          <w:bCs/>
        </w:rPr>
        <w:t xml:space="preserve"> </w:t>
      </w:r>
      <w:r w:rsidR="008D282B" w:rsidRPr="00CC3955">
        <w:rPr>
          <w:rFonts w:asciiTheme="majorHAnsi" w:hAnsiTheme="majorHAnsi" w:cstheme="minorHAnsi"/>
          <w:b/>
          <w:bCs/>
        </w:rPr>
        <w:t>IN QUE</w:t>
      </w:r>
      <w:r w:rsidR="00CC3955" w:rsidRPr="00CC3955">
        <w:rPr>
          <w:rFonts w:asciiTheme="majorHAnsi" w:hAnsiTheme="majorHAnsi" w:cstheme="minorHAnsi"/>
          <w:b/>
          <w:bCs/>
        </w:rPr>
        <w:t>TTA TELECOM REGION BALOCHISTAN</w:t>
      </w:r>
    </w:p>
    <w:p w:rsidR="00430D1A" w:rsidRPr="00E95ECB" w:rsidRDefault="00430D1A" w:rsidP="00521A5D">
      <w:pPr>
        <w:jc w:val="center"/>
        <w:rPr>
          <w:rFonts w:asciiTheme="minorHAnsi" w:hAnsiTheme="minorHAnsi" w:cstheme="minorHAnsi"/>
        </w:rPr>
      </w:pPr>
    </w:p>
    <w:p w:rsidR="00F55DEB" w:rsidRPr="00F55DEB" w:rsidRDefault="00F55DEB" w:rsidP="00521A5D">
      <w:pPr>
        <w:jc w:val="center"/>
        <w:rPr>
          <w:rFonts w:asciiTheme="minorHAnsi" w:hAnsiTheme="minorHAnsi" w:cstheme="minorHAnsi"/>
        </w:rPr>
      </w:pPr>
    </w:p>
    <w:p w:rsidR="009D07EA" w:rsidRPr="00CC3955" w:rsidRDefault="003007B1" w:rsidP="00CC3955">
      <w:pPr>
        <w:jc w:val="both"/>
        <w:rPr>
          <w:rFonts w:asciiTheme="minorHAnsi" w:hAnsiTheme="minorHAnsi" w:cstheme="minorHAnsi"/>
          <w:b/>
        </w:rPr>
      </w:pPr>
      <w:r w:rsidRPr="00CC3955">
        <w:rPr>
          <w:rFonts w:asciiTheme="minorHAnsi" w:hAnsiTheme="minorHAnsi" w:cstheme="minorHAnsi"/>
        </w:rPr>
        <w:t xml:space="preserve">Sealed tenders are invited from vendors registered with PTCL for </w:t>
      </w:r>
      <w:r w:rsidR="00CC3955">
        <w:rPr>
          <w:rFonts w:asciiTheme="minorHAnsi" w:hAnsiTheme="minorHAnsi" w:cstheme="minorHAnsi"/>
          <w:b/>
        </w:rPr>
        <w:t>CONSTRUC</w:t>
      </w:r>
      <w:r w:rsidR="00F55DEB" w:rsidRPr="00CC3955">
        <w:rPr>
          <w:rFonts w:asciiTheme="minorHAnsi" w:hAnsiTheme="minorHAnsi" w:cstheme="minorHAnsi"/>
          <w:b/>
        </w:rPr>
        <w:t xml:space="preserve">TION OF </w:t>
      </w:r>
      <w:r w:rsidR="00CC3955">
        <w:rPr>
          <w:rFonts w:asciiTheme="minorHAnsi" w:hAnsiTheme="minorHAnsi" w:cstheme="minorHAnsi"/>
          <w:b/>
        </w:rPr>
        <w:t>ROOMS AND WASH</w:t>
      </w:r>
      <w:r w:rsidR="009D07EA" w:rsidRPr="00CC3955">
        <w:rPr>
          <w:rFonts w:asciiTheme="minorHAnsi" w:hAnsiTheme="minorHAnsi" w:cstheme="minorHAnsi"/>
          <w:b/>
        </w:rPr>
        <w:t>ROOM</w:t>
      </w:r>
      <w:r w:rsidR="00CC3955">
        <w:rPr>
          <w:rFonts w:asciiTheme="minorHAnsi" w:hAnsiTheme="minorHAnsi" w:cstheme="minorHAnsi"/>
          <w:b/>
        </w:rPr>
        <w:t>S</w:t>
      </w:r>
      <w:r w:rsidR="009D07EA" w:rsidRPr="00CC3955">
        <w:rPr>
          <w:rFonts w:asciiTheme="minorHAnsi" w:hAnsiTheme="minorHAnsi" w:cstheme="minorHAnsi"/>
          <w:b/>
        </w:rPr>
        <w:t xml:space="preserve"> AT KALAT COAL MINES</w:t>
      </w:r>
      <w:r w:rsidR="009E6B88" w:rsidRPr="00CC3955">
        <w:rPr>
          <w:rFonts w:asciiTheme="minorHAnsi" w:hAnsiTheme="minorHAnsi" w:cstheme="minorHAnsi"/>
          <w:b/>
        </w:rPr>
        <w:t xml:space="preserve"> </w:t>
      </w:r>
      <w:r w:rsidR="009D07EA" w:rsidRPr="00CC3955">
        <w:rPr>
          <w:rFonts w:asciiTheme="minorHAnsi" w:hAnsiTheme="minorHAnsi" w:cstheme="minorHAnsi"/>
          <w:b/>
        </w:rPr>
        <w:t>IN QUETTA TELECOM REGION BALOCHISTAN</w:t>
      </w:r>
      <w:r w:rsidR="00CC3955">
        <w:rPr>
          <w:rFonts w:asciiTheme="minorHAnsi" w:hAnsiTheme="minorHAnsi" w:cstheme="minorHAnsi"/>
          <w:b/>
        </w:rPr>
        <w:t>.</w:t>
      </w:r>
    </w:p>
    <w:p w:rsidR="009D07EA" w:rsidRPr="00CC3955" w:rsidRDefault="009D07EA" w:rsidP="00CC3955">
      <w:pPr>
        <w:ind w:left="360"/>
        <w:jc w:val="both"/>
        <w:rPr>
          <w:rFonts w:asciiTheme="minorHAnsi" w:hAnsiTheme="minorHAnsi" w:cstheme="minorHAnsi"/>
        </w:rPr>
      </w:pPr>
    </w:p>
    <w:p w:rsidR="007A53E8" w:rsidRDefault="00CC3955" w:rsidP="007A53E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53E8">
        <w:rPr>
          <w:rFonts w:asciiTheme="minorHAnsi" w:hAnsiTheme="minorHAnsi" w:cstheme="minorHAnsi"/>
        </w:rPr>
        <w:t>T</w:t>
      </w:r>
      <w:r w:rsidR="009D07EA" w:rsidRPr="007A53E8">
        <w:rPr>
          <w:rFonts w:asciiTheme="minorHAnsi" w:hAnsiTheme="minorHAnsi" w:cstheme="minorHAnsi"/>
        </w:rPr>
        <w:t>ender documents can be obtain</w:t>
      </w:r>
      <w:r w:rsidRPr="007A53E8">
        <w:rPr>
          <w:rFonts w:asciiTheme="minorHAnsi" w:hAnsiTheme="minorHAnsi" w:cstheme="minorHAnsi"/>
        </w:rPr>
        <w:t xml:space="preserve">ed from the office of </w:t>
      </w:r>
      <w:r w:rsidR="009D07EA" w:rsidRPr="007A53E8">
        <w:rPr>
          <w:rFonts w:asciiTheme="minorHAnsi" w:hAnsiTheme="minorHAnsi" w:cstheme="minorHAnsi"/>
        </w:rPr>
        <w:t xml:space="preserve">Manager Admin </w:t>
      </w:r>
      <w:r w:rsidRPr="007A53E8">
        <w:rPr>
          <w:rFonts w:asciiTheme="minorHAnsi" w:hAnsiTheme="minorHAnsi" w:cstheme="minorHAnsi"/>
        </w:rPr>
        <w:t>located in Room no. 225, Admin B</w:t>
      </w:r>
      <w:r w:rsidR="009D07EA" w:rsidRPr="007A53E8">
        <w:rPr>
          <w:rFonts w:asciiTheme="minorHAnsi" w:hAnsiTheme="minorHAnsi" w:cstheme="minorHAnsi"/>
        </w:rPr>
        <w:t>lock</w:t>
      </w:r>
      <w:r w:rsidRPr="007A53E8">
        <w:rPr>
          <w:rFonts w:asciiTheme="minorHAnsi" w:hAnsiTheme="minorHAnsi" w:cstheme="minorHAnsi"/>
        </w:rPr>
        <w:t>,</w:t>
      </w:r>
      <w:r w:rsidR="009D07EA" w:rsidRPr="007A53E8">
        <w:rPr>
          <w:rFonts w:asciiTheme="minorHAnsi" w:hAnsiTheme="minorHAnsi" w:cstheme="minorHAnsi"/>
        </w:rPr>
        <w:t xml:space="preserve"> Mir Jaffar Khan Jamali Road</w:t>
      </w:r>
      <w:r w:rsidRPr="007A53E8">
        <w:rPr>
          <w:rFonts w:asciiTheme="minorHAnsi" w:hAnsiTheme="minorHAnsi" w:cstheme="minorHAnsi"/>
        </w:rPr>
        <w:t xml:space="preserve">, Quetta </w:t>
      </w:r>
      <w:r w:rsidR="009D07EA" w:rsidRPr="007A53E8">
        <w:rPr>
          <w:rFonts w:asciiTheme="minorHAnsi" w:hAnsiTheme="minorHAnsi" w:cstheme="minorHAnsi"/>
        </w:rPr>
        <w:t xml:space="preserve">on payment of </w:t>
      </w:r>
      <w:r w:rsidR="009D07EA" w:rsidRPr="007A53E8">
        <w:rPr>
          <w:rFonts w:asciiTheme="minorHAnsi" w:hAnsiTheme="minorHAnsi" w:cstheme="minorHAnsi"/>
          <w:b/>
        </w:rPr>
        <w:t>R</w:t>
      </w:r>
      <w:r w:rsidRPr="007A53E8">
        <w:rPr>
          <w:rFonts w:asciiTheme="minorHAnsi" w:hAnsiTheme="minorHAnsi" w:cstheme="minorHAnsi"/>
          <w:b/>
        </w:rPr>
        <w:t>s. 1000/-</w:t>
      </w:r>
      <w:r w:rsidRPr="007A53E8">
        <w:rPr>
          <w:rFonts w:asciiTheme="minorHAnsi" w:hAnsiTheme="minorHAnsi" w:cstheme="minorHAnsi"/>
        </w:rPr>
        <w:t xml:space="preserve"> </w:t>
      </w:r>
      <w:r w:rsidRPr="007A53E8">
        <w:rPr>
          <w:rFonts w:asciiTheme="minorHAnsi" w:hAnsiTheme="minorHAnsi" w:cstheme="minorHAnsi"/>
          <w:b/>
        </w:rPr>
        <w:t>(non-</w:t>
      </w:r>
      <w:r w:rsidR="009D07EA" w:rsidRPr="007A53E8">
        <w:rPr>
          <w:rFonts w:asciiTheme="minorHAnsi" w:hAnsiTheme="minorHAnsi" w:cstheme="minorHAnsi"/>
          <w:b/>
        </w:rPr>
        <w:t>refundable</w:t>
      </w:r>
      <w:r w:rsidRPr="007A53E8">
        <w:rPr>
          <w:rFonts w:asciiTheme="minorHAnsi" w:hAnsiTheme="minorHAnsi" w:cstheme="minorHAnsi"/>
          <w:b/>
        </w:rPr>
        <w:t>)</w:t>
      </w:r>
      <w:r w:rsidR="009D07EA" w:rsidRPr="007A53E8">
        <w:rPr>
          <w:rFonts w:asciiTheme="minorHAnsi" w:hAnsiTheme="minorHAnsi" w:cstheme="minorHAnsi"/>
        </w:rPr>
        <w:t xml:space="preserve"> through cash/bank draft in favor of Senior Manager Finance PTCL QTR Quetta up to 26-09-2018.</w:t>
      </w:r>
    </w:p>
    <w:p w:rsidR="00092FF5" w:rsidRDefault="00092FF5" w:rsidP="00092FF5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092FF5" w:rsidRDefault="007A53E8" w:rsidP="00092F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53E8">
        <w:rPr>
          <w:rFonts w:asciiTheme="minorHAnsi" w:hAnsiTheme="minorHAnsi" w:cstheme="minorHAnsi"/>
        </w:rPr>
        <w:t>T</w:t>
      </w:r>
      <w:r w:rsidR="009D07EA" w:rsidRPr="007A53E8">
        <w:rPr>
          <w:rFonts w:asciiTheme="minorHAnsi" w:hAnsiTheme="minorHAnsi" w:cstheme="minorHAnsi"/>
        </w:rPr>
        <w:t>ender document</w:t>
      </w:r>
      <w:r>
        <w:rPr>
          <w:rFonts w:asciiTheme="minorHAnsi" w:hAnsiTheme="minorHAnsi" w:cstheme="minorHAnsi"/>
        </w:rPr>
        <w:t xml:space="preserve">s complete in all </w:t>
      </w:r>
      <w:r w:rsidR="009D07EA" w:rsidRPr="007A53E8">
        <w:rPr>
          <w:rFonts w:asciiTheme="minorHAnsi" w:hAnsiTheme="minorHAnsi" w:cstheme="minorHAnsi"/>
        </w:rPr>
        <w:t>respect</w:t>
      </w:r>
      <w:r>
        <w:rPr>
          <w:rFonts w:asciiTheme="minorHAnsi" w:hAnsiTheme="minorHAnsi" w:cstheme="minorHAnsi"/>
        </w:rPr>
        <w:t xml:space="preserve">s containing both Commercial and Technical offers should be dropped in Tender Box kept in the office of Regional General Manager located in </w:t>
      </w:r>
      <w:r w:rsidR="009D07EA" w:rsidRPr="007A53E8">
        <w:rPr>
          <w:rFonts w:asciiTheme="minorHAnsi" w:hAnsiTheme="minorHAnsi" w:cstheme="minorHAnsi"/>
        </w:rPr>
        <w:t>Admin block</w:t>
      </w:r>
      <w:r>
        <w:rPr>
          <w:rFonts w:asciiTheme="minorHAnsi" w:hAnsiTheme="minorHAnsi" w:cstheme="minorHAnsi"/>
        </w:rPr>
        <w:t>, Mir Jaffar Khan Jamali R</w:t>
      </w:r>
      <w:r w:rsidR="009D07EA" w:rsidRPr="007A53E8">
        <w:rPr>
          <w:rFonts w:asciiTheme="minorHAnsi" w:hAnsiTheme="minorHAnsi" w:cstheme="minorHAnsi"/>
        </w:rPr>
        <w:t>oad</w:t>
      </w:r>
      <w:r>
        <w:rPr>
          <w:rFonts w:asciiTheme="minorHAnsi" w:hAnsiTheme="minorHAnsi" w:cstheme="minorHAnsi"/>
        </w:rPr>
        <w:t>,</w:t>
      </w:r>
      <w:r w:rsidR="009D07EA" w:rsidRPr="007A53E8">
        <w:rPr>
          <w:rFonts w:asciiTheme="minorHAnsi" w:hAnsiTheme="minorHAnsi" w:cstheme="minorHAnsi"/>
        </w:rPr>
        <w:t xml:space="preserve"> Quetta</w:t>
      </w:r>
      <w:r w:rsidR="00092FF5">
        <w:rPr>
          <w:rFonts w:asciiTheme="minorHAnsi" w:hAnsiTheme="minorHAnsi" w:cstheme="minorHAnsi"/>
        </w:rPr>
        <w:t xml:space="preserve"> </w:t>
      </w:r>
      <w:r w:rsidR="00092FF5">
        <w:rPr>
          <w:rFonts w:asciiTheme="minorHAnsi" w:hAnsiTheme="minorHAnsi" w:cstheme="minorHAnsi"/>
        </w:rPr>
        <w:t>on or before</w:t>
      </w:r>
      <w:r w:rsidR="00092FF5" w:rsidRPr="007A53E8">
        <w:rPr>
          <w:rFonts w:asciiTheme="minorHAnsi" w:hAnsiTheme="minorHAnsi" w:cstheme="minorHAnsi"/>
        </w:rPr>
        <w:t xml:space="preserve"> </w:t>
      </w:r>
      <w:r w:rsidR="00092FF5" w:rsidRPr="00092FF5">
        <w:rPr>
          <w:rFonts w:asciiTheme="minorHAnsi" w:hAnsiTheme="minorHAnsi" w:cstheme="minorHAnsi"/>
          <w:b/>
        </w:rPr>
        <w:t>27-09-2018 by 1300 Hours</w:t>
      </w:r>
      <w:r w:rsidR="009D07EA" w:rsidRPr="007A53E8">
        <w:rPr>
          <w:rFonts w:asciiTheme="minorHAnsi" w:hAnsiTheme="minorHAnsi" w:cstheme="minorHAnsi"/>
        </w:rPr>
        <w:t>.</w:t>
      </w:r>
    </w:p>
    <w:p w:rsidR="00092FF5" w:rsidRPr="00092FF5" w:rsidRDefault="00092FF5" w:rsidP="00092FF5">
      <w:pPr>
        <w:jc w:val="both"/>
        <w:rPr>
          <w:rFonts w:asciiTheme="minorHAnsi" w:hAnsiTheme="minorHAnsi" w:cstheme="minorHAnsi"/>
        </w:rPr>
      </w:pPr>
    </w:p>
    <w:p w:rsidR="00092FF5" w:rsidRDefault="00092FF5" w:rsidP="00092F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Bid security of </w:t>
      </w:r>
      <w:r w:rsidR="009D07EA" w:rsidRPr="00092FF5">
        <w:rPr>
          <w:rFonts w:asciiTheme="minorHAnsi" w:hAnsiTheme="minorHAnsi" w:cstheme="minorHAnsi"/>
          <w:b/>
        </w:rPr>
        <w:t>2% of the quoted price</w:t>
      </w:r>
      <w:r w:rsidR="009D07EA" w:rsidRPr="00092FF5">
        <w:rPr>
          <w:rFonts w:asciiTheme="minorHAnsi" w:hAnsiTheme="minorHAnsi" w:cstheme="minorHAnsi"/>
        </w:rPr>
        <w:t xml:space="preserve"> of the tender should be put in a separate envelop</w:t>
      </w:r>
      <w:r>
        <w:rPr>
          <w:rFonts w:asciiTheme="minorHAnsi" w:hAnsiTheme="minorHAnsi" w:cstheme="minorHAnsi"/>
        </w:rPr>
        <w:t>e</w:t>
      </w:r>
      <w:r w:rsidR="009D07EA" w:rsidRPr="00092FF5">
        <w:rPr>
          <w:rFonts w:asciiTheme="minorHAnsi" w:hAnsiTheme="minorHAnsi" w:cstheme="minorHAnsi"/>
        </w:rPr>
        <w:t xml:space="preserve"> along with commercial offer in the shape of pay order in favor of Senior Manager Finance PTCL QTR Quetta</w:t>
      </w:r>
      <w:r>
        <w:rPr>
          <w:rFonts w:asciiTheme="minorHAnsi" w:hAnsiTheme="minorHAnsi" w:cstheme="minorHAnsi"/>
        </w:rPr>
        <w:t>.</w:t>
      </w:r>
      <w:r w:rsidR="009D07EA" w:rsidRPr="00092FF5">
        <w:rPr>
          <w:rFonts w:asciiTheme="minorHAnsi" w:hAnsiTheme="minorHAnsi" w:cstheme="minorHAnsi"/>
        </w:rPr>
        <w:t xml:space="preserve"> </w:t>
      </w:r>
    </w:p>
    <w:p w:rsidR="00092FF5" w:rsidRPr="00092FF5" w:rsidRDefault="00092FF5" w:rsidP="00092FF5">
      <w:pPr>
        <w:pStyle w:val="ListParagraph"/>
        <w:rPr>
          <w:rFonts w:asciiTheme="minorHAnsi" w:hAnsiTheme="minorHAnsi" w:cstheme="minorHAnsi"/>
        </w:rPr>
      </w:pPr>
    </w:p>
    <w:p w:rsidR="00092FF5" w:rsidRDefault="009D07EA" w:rsidP="00092F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2FF5">
        <w:rPr>
          <w:rFonts w:asciiTheme="minorHAnsi" w:hAnsiTheme="minorHAnsi" w:cstheme="minorHAnsi"/>
        </w:rPr>
        <w:t>Bids without security money will be rejected.</w:t>
      </w:r>
    </w:p>
    <w:p w:rsidR="00092FF5" w:rsidRPr="00092FF5" w:rsidRDefault="00092FF5" w:rsidP="00092FF5">
      <w:pPr>
        <w:pStyle w:val="ListParagraph"/>
        <w:rPr>
          <w:rFonts w:asciiTheme="minorHAnsi" w:hAnsiTheme="minorHAnsi" w:cstheme="minorHAnsi"/>
        </w:rPr>
      </w:pPr>
    </w:p>
    <w:p w:rsidR="00092FF5" w:rsidRDefault="009D07EA" w:rsidP="00092F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2FF5">
        <w:rPr>
          <w:rFonts w:asciiTheme="minorHAnsi" w:hAnsiTheme="minorHAnsi" w:cstheme="minorHAnsi"/>
        </w:rPr>
        <w:t xml:space="preserve">Bids received after the </w:t>
      </w:r>
      <w:r w:rsidR="00092FF5">
        <w:rPr>
          <w:rFonts w:asciiTheme="minorHAnsi" w:hAnsiTheme="minorHAnsi" w:cstheme="minorHAnsi"/>
        </w:rPr>
        <w:t>above mentioned deadline shall not be accepted.</w:t>
      </w:r>
    </w:p>
    <w:p w:rsidR="00092FF5" w:rsidRPr="00092FF5" w:rsidRDefault="00092FF5" w:rsidP="00092FF5">
      <w:pPr>
        <w:pStyle w:val="ListParagraph"/>
        <w:rPr>
          <w:rFonts w:asciiTheme="minorHAnsi" w:hAnsiTheme="minorHAnsi" w:cstheme="minorHAnsi"/>
        </w:rPr>
      </w:pPr>
    </w:p>
    <w:p w:rsidR="00092FF5" w:rsidRDefault="009D07EA" w:rsidP="00CC395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2FF5">
        <w:rPr>
          <w:rFonts w:asciiTheme="minorHAnsi" w:hAnsiTheme="minorHAnsi" w:cstheme="minorHAnsi"/>
        </w:rPr>
        <w:t>PTCL reserve</w:t>
      </w:r>
      <w:r w:rsidR="00092FF5" w:rsidRPr="00092FF5">
        <w:rPr>
          <w:rFonts w:asciiTheme="minorHAnsi" w:hAnsiTheme="minorHAnsi" w:cstheme="minorHAnsi"/>
        </w:rPr>
        <w:t>s</w:t>
      </w:r>
      <w:r w:rsidRPr="00092FF5">
        <w:rPr>
          <w:rFonts w:asciiTheme="minorHAnsi" w:hAnsiTheme="minorHAnsi" w:cstheme="minorHAnsi"/>
        </w:rPr>
        <w:t xml:space="preserve"> the right to </w:t>
      </w:r>
      <w:r w:rsidR="00092FF5" w:rsidRPr="00092FF5">
        <w:rPr>
          <w:rFonts w:asciiTheme="minorHAnsi" w:hAnsiTheme="minorHAnsi" w:cstheme="minorHAnsi"/>
        </w:rPr>
        <w:t>accept/</w:t>
      </w:r>
      <w:r w:rsidRPr="00092FF5">
        <w:rPr>
          <w:rFonts w:asciiTheme="minorHAnsi" w:hAnsiTheme="minorHAnsi" w:cstheme="minorHAnsi"/>
        </w:rPr>
        <w:t>reject any or all bids and to annul the bidding process at any time, without</w:t>
      </w:r>
      <w:r w:rsidR="007F4EED" w:rsidRPr="00092FF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92FF5" w:rsidRPr="00092FF5">
        <w:rPr>
          <w:rFonts w:asciiTheme="minorHAnsi" w:hAnsiTheme="minorHAnsi" w:cstheme="minorHAnsi"/>
        </w:rPr>
        <w:t>thereby incurring any l</w:t>
      </w:r>
      <w:r w:rsidR="00092FF5">
        <w:rPr>
          <w:rFonts w:asciiTheme="minorHAnsi" w:hAnsiTheme="minorHAnsi" w:cstheme="minorHAnsi"/>
        </w:rPr>
        <w:t xml:space="preserve">iability to the affected bidder </w:t>
      </w:r>
      <w:r w:rsidR="00092FF5" w:rsidRPr="00092FF5">
        <w:rPr>
          <w:rFonts w:asciiTheme="minorHAnsi" w:hAnsiTheme="minorHAnsi" w:cstheme="minorHAnsi"/>
        </w:rPr>
        <w:t>(s) or any obligation to inform the affected bidder (s) of the grounds for PTCL’s action.</w:t>
      </w:r>
    </w:p>
    <w:p w:rsidR="00092FF5" w:rsidRPr="00092FF5" w:rsidRDefault="00092FF5" w:rsidP="00092FF5">
      <w:pPr>
        <w:pStyle w:val="ListParagraph"/>
        <w:rPr>
          <w:rFonts w:asciiTheme="minorHAnsi" w:hAnsiTheme="minorHAnsi" w:cstheme="minorHAnsi"/>
        </w:rPr>
      </w:pPr>
    </w:p>
    <w:p w:rsidR="003007B1" w:rsidRPr="00092FF5" w:rsidRDefault="003007B1" w:rsidP="00CC395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2FF5">
        <w:rPr>
          <w:rFonts w:asciiTheme="minorHAnsi" w:hAnsiTheme="minorHAnsi" w:cstheme="minorHAnsi"/>
        </w:rPr>
        <w:t>All correspondence on th</w:t>
      </w:r>
      <w:r w:rsidR="00092FF5">
        <w:rPr>
          <w:rFonts w:asciiTheme="minorHAnsi" w:hAnsiTheme="minorHAnsi" w:cstheme="minorHAnsi"/>
        </w:rPr>
        <w:t>e subject matter may be addressed</w:t>
      </w:r>
      <w:r w:rsidRPr="00092FF5">
        <w:rPr>
          <w:rFonts w:asciiTheme="minorHAnsi" w:hAnsiTheme="minorHAnsi" w:cstheme="minorHAnsi"/>
        </w:rPr>
        <w:t xml:space="preserve"> to the undersigned.</w:t>
      </w:r>
    </w:p>
    <w:p w:rsidR="003007B1" w:rsidRPr="002A2019" w:rsidRDefault="003007B1" w:rsidP="003007B1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1123"/>
        <w:gridCol w:w="5025"/>
        <w:gridCol w:w="603"/>
        <w:gridCol w:w="617"/>
        <w:gridCol w:w="864"/>
        <w:gridCol w:w="1903"/>
      </w:tblGrid>
      <w:tr w:rsidR="001B675C" w:rsidTr="001B675C">
        <w:trPr>
          <w:trHeight w:val="247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 w:rsidP="009D07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</w:tr>
      <w:tr w:rsidR="001B675C">
        <w:trPr>
          <w:trHeight w:val="24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1B675C" w:rsidRDefault="001B67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3007B1" w:rsidRDefault="003007B1" w:rsidP="003007B1">
      <w:pPr>
        <w:rPr>
          <w:rFonts w:asciiTheme="minorHAnsi" w:hAnsiTheme="minorHAnsi" w:cs="Tahoma"/>
          <w:b/>
        </w:rPr>
      </w:pPr>
    </w:p>
    <w:p w:rsidR="00F55DEB" w:rsidRPr="000C235D" w:rsidRDefault="00F55DEB" w:rsidP="003007B1">
      <w:pPr>
        <w:rPr>
          <w:rFonts w:asciiTheme="minorHAnsi" w:hAnsiTheme="minorHAnsi" w:cs="Tahoma"/>
          <w:b/>
        </w:rPr>
      </w:pPr>
    </w:p>
    <w:p w:rsidR="003007B1" w:rsidRPr="000C235D" w:rsidRDefault="003007B1" w:rsidP="00CC3955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>Manager Admin</w:t>
      </w:r>
    </w:p>
    <w:p w:rsidR="003007B1" w:rsidRPr="00CC3955" w:rsidRDefault="00CC3955" w:rsidP="00CC395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Room n</w:t>
      </w:r>
      <w:r w:rsidR="003007B1" w:rsidRPr="00CC3955">
        <w:rPr>
          <w:rFonts w:asciiTheme="minorHAnsi" w:hAnsiTheme="minorHAnsi" w:cs="Tahoma"/>
        </w:rPr>
        <w:t xml:space="preserve">o. </w:t>
      </w:r>
      <w:r w:rsidR="00A55043" w:rsidRPr="00CC3955">
        <w:rPr>
          <w:rFonts w:asciiTheme="minorHAnsi" w:hAnsiTheme="minorHAnsi" w:cs="Tahoma"/>
        </w:rPr>
        <w:t>225</w:t>
      </w:r>
    </w:p>
    <w:p w:rsidR="00FB1E10" w:rsidRPr="00CC3955" w:rsidRDefault="00CC3955" w:rsidP="00CC395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Phone: </w:t>
      </w:r>
      <w:r w:rsidR="00A55043" w:rsidRPr="00CC3955">
        <w:rPr>
          <w:rFonts w:asciiTheme="minorHAnsi" w:hAnsiTheme="minorHAnsi" w:cs="Tahoma"/>
        </w:rPr>
        <w:t>081-28</w:t>
      </w:r>
      <w:r w:rsidR="002A2019" w:rsidRPr="00CC3955">
        <w:rPr>
          <w:rFonts w:asciiTheme="minorHAnsi" w:hAnsiTheme="minorHAnsi" w:cs="Tahoma"/>
        </w:rPr>
        <w:t>31333</w:t>
      </w:r>
      <w:r>
        <w:rPr>
          <w:rFonts w:asciiTheme="minorHAnsi" w:hAnsiTheme="minorHAnsi" w:cs="Tahoma"/>
        </w:rPr>
        <w:t xml:space="preserve">, </w:t>
      </w:r>
      <w:r w:rsidR="003007B1" w:rsidRPr="00CC3955">
        <w:rPr>
          <w:rFonts w:asciiTheme="minorHAnsi" w:hAnsiTheme="minorHAnsi" w:cs="Tahoma"/>
        </w:rPr>
        <w:t>0</w:t>
      </w:r>
      <w:r w:rsidR="00A55043" w:rsidRPr="00CC3955">
        <w:rPr>
          <w:rFonts w:asciiTheme="minorHAnsi" w:hAnsiTheme="minorHAnsi" w:cs="Tahoma"/>
        </w:rPr>
        <w:t>8</w:t>
      </w:r>
      <w:r w:rsidR="003007B1" w:rsidRPr="00CC3955">
        <w:rPr>
          <w:rFonts w:asciiTheme="minorHAnsi" w:hAnsiTheme="minorHAnsi" w:cs="Tahoma"/>
        </w:rPr>
        <w:t>1-</w:t>
      </w:r>
      <w:r w:rsidR="00FB1E10" w:rsidRPr="00CC3955">
        <w:rPr>
          <w:rFonts w:asciiTheme="minorHAnsi" w:hAnsiTheme="minorHAnsi" w:cs="Tahoma"/>
        </w:rPr>
        <w:t>2824996</w:t>
      </w:r>
    </w:p>
    <w:p w:rsidR="003007B1" w:rsidRPr="00092FF5" w:rsidRDefault="00CC395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Mobile: </w:t>
      </w:r>
      <w:r w:rsidR="00FB1E10" w:rsidRPr="00CC3955">
        <w:rPr>
          <w:rFonts w:asciiTheme="minorHAnsi" w:hAnsiTheme="minorHAnsi" w:cs="Tahoma"/>
        </w:rPr>
        <w:t>0300-9386755</w:t>
      </w:r>
    </w:p>
    <w:sectPr w:rsidR="003007B1" w:rsidRPr="00092FF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66" w:rsidRDefault="003B5C66" w:rsidP="00A67C4C">
      <w:r>
        <w:separator/>
      </w:r>
    </w:p>
  </w:endnote>
  <w:endnote w:type="continuationSeparator" w:id="0">
    <w:p w:rsidR="003B5C66" w:rsidRDefault="003B5C66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66" w:rsidRDefault="003B5C66" w:rsidP="00A67C4C">
      <w:r>
        <w:separator/>
      </w:r>
    </w:p>
  </w:footnote>
  <w:footnote w:type="continuationSeparator" w:id="0">
    <w:p w:rsidR="003B5C66" w:rsidRDefault="003B5C66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35F6"/>
    <w:multiLevelType w:val="hybridMultilevel"/>
    <w:tmpl w:val="D94A9774"/>
    <w:lvl w:ilvl="0" w:tplc="EA3EFA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3B4D"/>
    <w:multiLevelType w:val="hybridMultilevel"/>
    <w:tmpl w:val="EEE2F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026B8"/>
    <w:rsid w:val="000069EC"/>
    <w:rsid w:val="00023423"/>
    <w:rsid w:val="000271EB"/>
    <w:rsid w:val="00033088"/>
    <w:rsid w:val="0004637E"/>
    <w:rsid w:val="00056459"/>
    <w:rsid w:val="00092FF5"/>
    <w:rsid w:val="000B744F"/>
    <w:rsid w:val="000C235D"/>
    <w:rsid w:val="000D0BF2"/>
    <w:rsid w:val="00112214"/>
    <w:rsid w:val="00127EEA"/>
    <w:rsid w:val="001539FC"/>
    <w:rsid w:val="0017322C"/>
    <w:rsid w:val="001B6370"/>
    <w:rsid w:val="001B675C"/>
    <w:rsid w:val="001C4809"/>
    <w:rsid w:val="00221BC9"/>
    <w:rsid w:val="0027054A"/>
    <w:rsid w:val="002A2019"/>
    <w:rsid w:val="002F2EBD"/>
    <w:rsid w:val="003007B1"/>
    <w:rsid w:val="00330268"/>
    <w:rsid w:val="003473D5"/>
    <w:rsid w:val="00390A5E"/>
    <w:rsid w:val="003B5C66"/>
    <w:rsid w:val="00430D1A"/>
    <w:rsid w:val="004358A8"/>
    <w:rsid w:val="004376AE"/>
    <w:rsid w:val="00470607"/>
    <w:rsid w:val="004A556D"/>
    <w:rsid w:val="004B3E3B"/>
    <w:rsid w:val="004E4F05"/>
    <w:rsid w:val="00521A5D"/>
    <w:rsid w:val="00545500"/>
    <w:rsid w:val="00575182"/>
    <w:rsid w:val="00587A2F"/>
    <w:rsid w:val="005E7607"/>
    <w:rsid w:val="00600DA4"/>
    <w:rsid w:val="0064211A"/>
    <w:rsid w:val="00671C6F"/>
    <w:rsid w:val="00690847"/>
    <w:rsid w:val="006C3B14"/>
    <w:rsid w:val="006F747A"/>
    <w:rsid w:val="00763C36"/>
    <w:rsid w:val="00784338"/>
    <w:rsid w:val="007A53E8"/>
    <w:rsid w:val="007F4EED"/>
    <w:rsid w:val="00826C3C"/>
    <w:rsid w:val="00845CF0"/>
    <w:rsid w:val="00865449"/>
    <w:rsid w:val="00885BFC"/>
    <w:rsid w:val="008B5ADE"/>
    <w:rsid w:val="008D282B"/>
    <w:rsid w:val="00951F80"/>
    <w:rsid w:val="0097743D"/>
    <w:rsid w:val="009778A6"/>
    <w:rsid w:val="00984F71"/>
    <w:rsid w:val="00990AFA"/>
    <w:rsid w:val="009D07EA"/>
    <w:rsid w:val="009E6B88"/>
    <w:rsid w:val="00A0397A"/>
    <w:rsid w:val="00A13B24"/>
    <w:rsid w:val="00A55043"/>
    <w:rsid w:val="00A65921"/>
    <w:rsid w:val="00A67C4C"/>
    <w:rsid w:val="00A77624"/>
    <w:rsid w:val="00A97435"/>
    <w:rsid w:val="00B75DDD"/>
    <w:rsid w:val="00B77F51"/>
    <w:rsid w:val="00B87460"/>
    <w:rsid w:val="00BD7C6A"/>
    <w:rsid w:val="00C53163"/>
    <w:rsid w:val="00CC3955"/>
    <w:rsid w:val="00CF2158"/>
    <w:rsid w:val="00D967AA"/>
    <w:rsid w:val="00DD2AF9"/>
    <w:rsid w:val="00DD2BAA"/>
    <w:rsid w:val="00E27189"/>
    <w:rsid w:val="00E611CF"/>
    <w:rsid w:val="00E95ECB"/>
    <w:rsid w:val="00EB0FD1"/>
    <w:rsid w:val="00F55DEB"/>
    <w:rsid w:val="00FA2C62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B45"/>
  <w15:docId w15:val="{201E4D25-FB01-4B0B-A370-6EB6A91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7EA"/>
    <w:pPr>
      <w:ind w:left="720"/>
      <w:contextualSpacing/>
    </w:pPr>
  </w:style>
  <w:style w:type="character" w:styleId="Hyperlink">
    <w:name w:val="Hyperlink"/>
    <w:basedOn w:val="DefaultParagraphFont"/>
    <w:rsid w:val="009D07EA"/>
    <w:rPr>
      <w:color w:val="0000FF"/>
      <w:u w:val="single"/>
    </w:rPr>
  </w:style>
  <w:style w:type="paragraph" w:customStyle="1" w:styleId="Style1">
    <w:name w:val="Style 1"/>
    <w:uiPriority w:val="99"/>
    <w:rsid w:val="009D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Khalid/AM (Brand Management)/PTCL</cp:lastModifiedBy>
  <cp:revision>71</cp:revision>
  <dcterms:created xsi:type="dcterms:W3CDTF">2015-09-04T04:44:00Z</dcterms:created>
  <dcterms:modified xsi:type="dcterms:W3CDTF">2018-09-14T09:33:00Z</dcterms:modified>
</cp:coreProperties>
</file>